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DA" w:rsidRPr="000E2390" w:rsidRDefault="00C07ADA" w:rsidP="00C07ADA">
      <w:pPr>
        <w:pStyle w:val="21"/>
        <w:spacing w:line="240" w:lineRule="auto"/>
        <w:ind w:left="0"/>
        <w:contextualSpacing/>
        <w:jc w:val="left"/>
        <w:rPr>
          <w:sz w:val="28"/>
          <w:szCs w:val="28"/>
        </w:rPr>
      </w:pPr>
      <w:r w:rsidRPr="000E2390">
        <w:rPr>
          <w:sz w:val="28"/>
          <w:szCs w:val="28"/>
        </w:rPr>
        <w:t>УДК 664</w:t>
      </w:r>
    </w:p>
    <w:p w:rsidR="00C07ADA" w:rsidRPr="000E2390" w:rsidRDefault="00C07ADA" w:rsidP="00C07ADA">
      <w:pPr>
        <w:pStyle w:val="21"/>
        <w:spacing w:line="240" w:lineRule="auto"/>
        <w:ind w:left="0"/>
        <w:contextualSpacing/>
        <w:jc w:val="left"/>
        <w:rPr>
          <w:sz w:val="28"/>
          <w:szCs w:val="28"/>
          <w:highlight w:val="yellow"/>
        </w:rPr>
      </w:pPr>
    </w:p>
    <w:p w:rsidR="00C07ADA" w:rsidRPr="000E2390" w:rsidRDefault="00C07ADA" w:rsidP="00C07ADA">
      <w:pPr>
        <w:pStyle w:val="21"/>
        <w:spacing w:line="240" w:lineRule="auto"/>
        <w:ind w:left="0"/>
        <w:contextualSpacing/>
        <w:jc w:val="left"/>
        <w:rPr>
          <w:sz w:val="28"/>
          <w:szCs w:val="28"/>
        </w:rPr>
      </w:pPr>
      <w:proofErr w:type="gramStart"/>
      <w:r w:rsidRPr="000E2390">
        <w:rPr>
          <w:sz w:val="28"/>
          <w:szCs w:val="28"/>
        </w:rPr>
        <w:t>Р.Р. Левашов (</w:t>
      </w:r>
      <w:r w:rsidRPr="000E2390">
        <w:rPr>
          <w:sz w:val="28"/>
          <w:szCs w:val="28"/>
          <w:lang w:val="en-US"/>
        </w:rPr>
        <w:t>R</w:t>
      </w:r>
      <w:r w:rsidRPr="000E2390">
        <w:rPr>
          <w:sz w:val="28"/>
          <w:szCs w:val="28"/>
        </w:rPr>
        <w:t>.</w:t>
      </w:r>
      <w:r w:rsidRPr="000E2390">
        <w:rPr>
          <w:sz w:val="28"/>
          <w:szCs w:val="28"/>
          <w:lang w:val="en-US"/>
        </w:rPr>
        <w:t>R</w:t>
      </w:r>
      <w:r w:rsidRPr="000E2390">
        <w:rPr>
          <w:sz w:val="28"/>
          <w:szCs w:val="28"/>
        </w:rPr>
        <w:t>.</w:t>
      </w:r>
      <w:proofErr w:type="gramEnd"/>
      <w:r w:rsidRPr="000E2390">
        <w:rPr>
          <w:sz w:val="28"/>
          <w:szCs w:val="28"/>
        </w:rPr>
        <w:t xml:space="preserve"> </w:t>
      </w:r>
      <w:proofErr w:type="spellStart"/>
      <w:r w:rsidRPr="000E2390">
        <w:rPr>
          <w:sz w:val="28"/>
          <w:szCs w:val="28"/>
          <w:lang w:val="en-US"/>
        </w:rPr>
        <w:t>Levashov</w:t>
      </w:r>
      <w:proofErr w:type="spellEnd"/>
      <w:r w:rsidRPr="000E2390">
        <w:rPr>
          <w:sz w:val="28"/>
          <w:szCs w:val="28"/>
        </w:rPr>
        <w:t>)</w:t>
      </w:r>
    </w:p>
    <w:p w:rsidR="00C07ADA" w:rsidRPr="000E2390" w:rsidRDefault="00C07ADA" w:rsidP="00C07ADA">
      <w:pPr>
        <w:pStyle w:val="21"/>
        <w:spacing w:line="240" w:lineRule="auto"/>
        <w:ind w:left="0"/>
        <w:contextualSpacing/>
        <w:jc w:val="left"/>
        <w:rPr>
          <w:sz w:val="28"/>
          <w:szCs w:val="28"/>
        </w:rPr>
      </w:pPr>
      <w:proofErr w:type="gramStart"/>
      <w:r w:rsidRPr="000E2390">
        <w:rPr>
          <w:sz w:val="28"/>
          <w:szCs w:val="28"/>
        </w:rPr>
        <w:t>З.Ш. Мингалеева (</w:t>
      </w:r>
      <w:r w:rsidRPr="000E2390">
        <w:rPr>
          <w:sz w:val="28"/>
          <w:szCs w:val="28"/>
          <w:lang w:val="en-US"/>
        </w:rPr>
        <w:t>Z</w:t>
      </w:r>
      <w:r w:rsidRPr="000E2390">
        <w:rPr>
          <w:sz w:val="28"/>
          <w:szCs w:val="28"/>
        </w:rPr>
        <w:t>.</w:t>
      </w:r>
      <w:r w:rsidRPr="000E2390">
        <w:rPr>
          <w:sz w:val="28"/>
          <w:szCs w:val="28"/>
          <w:lang w:val="en-US"/>
        </w:rPr>
        <w:t>SH</w:t>
      </w:r>
      <w:r w:rsidRPr="000E2390">
        <w:rPr>
          <w:sz w:val="28"/>
          <w:szCs w:val="28"/>
        </w:rPr>
        <w:t>.</w:t>
      </w:r>
      <w:proofErr w:type="gramEnd"/>
      <w:r w:rsidRPr="000E2390">
        <w:rPr>
          <w:sz w:val="28"/>
          <w:szCs w:val="28"/>
        </w:rPr>
        <w:t xml:space="preserve"> </w:t>
      </w:r>
      <w:proofErr w:type="spellStart"/>
      <w:r w:rsidRPr="000E2390">
        <w:rPr>
          <w:sz w:val="28"/>
          <w:szCs w:val="28"/>
          <w:lang w:val="en-US"/>
        </w:rPr>
        <w:t>Mingaleeva</w:t>
      </w:r>
      <w:proofErr w:type="spellEnd"/>
      <w:r w:rsidRPr="000E2390">
        <w:rPr>
          <w:sz w:val="28"/>
          <w:szCs w:val="28"/>
        </w:rPr>
        <w:t>)</w:t>
      </w:r>
    </w:p>
    <w:p w:rsidR="00C07ADA" w:rsidRPr="00CC2FB5" w:rsidRDefault="00C07ADA" w:rsidP="00C07ADA">
      <w:pPr>
        <w:pStyle w:val="21"/>
        <w:spacing w:line="240" w:lineRule="auto"/>
        <w:ind w:left="0"/>
        <w:rPr>
          <w:sz w:val="28"/>
          <w:szCs w:val="28"/>
        </w:rPr>
      </w:pPr>
    </w:p>
    <w:p w:rsidR="00C07ADA" w:rsidRPr="00CC2FB5" w:rsidRDefault="00601610" w:rsidP="00377E1D">
      <w:pPr>
        <w:pStyle w:val="21"/>
        <w:spacing w:line="240" w:lineRule="auto"/>
        <w:ind w:left="0"/>
        <w:contextualSpacing/>
        <w:rPr>
          <w:sz w:val="28"/>
          <w:szCs w:val="28"/>
        </w:rPr>
      </w:pPr>
      <w:r w:rsidRPr="00CC2FB5">
        <w:rPr>
          <w:sz w:val="28"/>
          <w:szCs w:val="28"/>
        </w:rPr>
        <w:t>ИССЛЕДОВАНИЕ ВЛИЯНИЕ КОМПЛЕКСНОЙ ДОБАВКИ НА БРОДИЛЬНУЮ АКТИВНОСТЬ ХЛЕБОПЕКАРНЫХ ДРОЖЖЕЙ</w:t>
      </w:r>
    </w:p>
    <w:p w:rsidR="00C07ADA" w:rsidRPr="00CC2FB5" w:rsidRDefault="00C07ADA" w:rsidP="00377E1D">
      <w:pPr>
        <w:pStyle w:val="21"/>
        <w:spacing w:line="240" w:lineRule="auto"/>
        <w:ind w:left="0" w:firstLine="709"/>
        <w:contextualSpacing/>
        <w:rPr>
          <w:sz w:val="28"/>
          <w:szCs w:val="28"/>
        </w:rPr>
      </w:pPr>
    </w:p>
    <w:p w:rsidR="00C07ADA" w:rsidRPr="007F3CAE" w:rsidRDefault="00377E1D" w:rsidP="00377E1D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77E1D">
        <w:rPr>
          <w:rFonts w:ascii="Times New Roman" w:eastAsia="Calibri" w:hAnsi="Times New Roman" w:cs="Times New Roman"/>
          <w:sz w:val="28"/>
          <w:szCs w:val="28"/>
          <w:lang w:val="en-US"/>
        </w:rPr>
        <w:t>STUDY OF THE INFLUENCE OF COMPLEX ADDITIVE ON THE FERMENTATION ACTIVITY OF BAKER'S YEAST</w:t>
      </w:r>
    </w:p>
    <w:p w:rsidR="00377E1D" w:rsidRPr="007F3CAE" w:rsidRDefault="00377E1D" w:rsidP="00377E1D">
      <w:pPr>
        <w:contextualSpacing/>
        <w:jc w:val="center"/>
        <w:rPr>
          <w:rFonts w:ascii="Times New Roman" w:hAnsi="Times New Roman"/>
          <w:sz w:val="28"/>
          <w:szCs w:val="28"/>
          <w:highlight w:val="yellow"/>
          <w:lang w:val="en-US"/>
        </w:rPr>
      </w:pPr>
    </w:p>
    <w:p w:rsidR="006A13F1" w:rsidRPr="00CC2FB5" w:rsidRDefault="006A13F1" w:rsidP="006402F2">
      <w:pPr>
        <w:shd w:val="clear" w:color="auto" w:fill="FFFFFF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C2FB5">
        <w:rPr>
          <w:rFonts w:ascii="Times New Roman" w:hAnsi="Times New Roman"/>
          <w:bCs/>
          <w:color w:val="000000"/>
          <w:sz w:val="28"/>
          <w:szCs w:val="28"/>
        </w:rPr>
        <w:t xml:space="preserve">В настоящей работе исследуется влияние комплексной добавки на бродильную активность прессованных хлебопекарных дрожжей, которая определялась по подъемной силе и </w:t>
      </w:r>
      <w:r w:rsidR="00716915">
        <w:rPr>
          <w:rFonts w:ascii="Times New Roman" w:hAnsi="Times New Roman"/>
          <w:bCs/>
          <w:color w:val="000000"/>
          <w:sz w:val="28"/>
          <w:szCs w:val="28"/>
        </w:rPr>
        <w:t>увеличению объема тестовых образцов.</w:t>
      </w:r>
    </w:p>
    <w:p w:rsidR="00377E1D" w:rsidRPr="00377E1D" w:rsidRDefault="00377E1D" w:rsidP="006402F2">
      <w:pPr>
        <w:pStyle w:val="21"/>
        <w:spacing w:line="240" w:lineRule="auto"/>
        <w:ind w:left="0" w:right="539"/>
        <w:contextualSpacing/>
        <w:jc w:val="both"/>
        <w:rPr>
          <w:rFonts w:eastAsiaTheme="minorEastAsia"/>
          <w:sz w:val="28"/>
          <w:szCs w:val="28"/>
          <w:lang w:val="en-US"/>
        </w:rPr>
      </w:pPr>
      <w:r w:rsidRPr="00377E1D">
        <w:rPr>
          <w:rFonts w:eastAsiaTheme="minorEastAsia"/>
          <w:sz w:val="28"/>
          <w:szCs w:val="28"/>
          <w:lang w:val="en-US"/>
        </w:rPr>
        <w:t xml:space="preserve">In the present work investigates the influence of complex additive on the fermentation activity of yeast baking pressed, which is determined by the lifting force and increase the volume of </w:t>
      </w:r>
      <w:proofErr w:type="spellStart"/>
      <w:r w:rsidRPr="00377E1D">
        <w:rPr>
          <w:rFonts w:eastAsiaTheme="minorEastAsia"/>
          <w:sz w:val="28"/>
          <w:szCs w:val="28"/>
          <w:lang w:val="en-US"/>
        </w:rPr>
        <w:t>dought</w:t>
      </w:r>
      <w:proofErr w:type="spellEnd"/>
      <w:r w:rsidRPr="00377E1D">
        <w:rPr>
          <w:rFonts w:eastAsiaTheme="minorEastAsia"/>
          <w:sz w:val="28"/>
          <w:szCs w:val="28"/>
          <w:lang w:val="en-US"/>
        </w:rPr>
        <w:t xml:space="preserve"> samples.</w:t>
      </w:r>
    </w:p>
    <w:p w:rsidR="00C07ADA" w:rsidRPr="00377E1D" w:rsidRDefault="00601610" w:rsidP="006402F2">
      <w:pPr>
        <w:pStyle w:val="21"/>
        <w:spacing w:line="240" w:lineRule="auto"/>
        <w:ind w:left="0" w:right="539"/>
        <w:contextualSpacing/>
        <w:jc w:val="both"/>
        <w:rPr>
          <w:sz w:val="28"/>
          <w:szCs w:val="28"/>
        </w:rPr>
      </w:pPr>
      <w:r w:rsidRPr="00CC2FB5">
        <w:rPr>
          <w:sz w:val="28"/>
          <w:szCs w:val="28"/>
        </w:rPr>
        <w:t>Ключевые</w:t>
      </w:r>
      <w:r w:rsidRPr="00377E1D">
        <w:rPr>
          <w:sz w:val="28"/>
          <w:szCs w:val="28"/>
        </w:rPr>
        <w:t xml:space="preserve"> </w:t>
      </w:r>
      <w:r w:rsidRPr="00CC2FB5">
        <w:rPr>
          <w:sz w:val="28"/>
          <w:szCs w:val="28"/>
        </w:rPr>
        <w:t>слова</w:t>
      </w:r>
      <w:r w:rsidRPr="00377E1D">
        <w:rPr>
          <w:sz w:val="28"/>
          <w:szCs w:val="28"/>
        </w:rPr>
        <w:t xml:space="preserve">: </w:t>
      </w:r>
      <w:r w:rsidRPr="00CC2FB5">
        <w:rPr>
          <w:sz w:val="28"/>
          <w:szCs w:val="28"/>
        </w:rPr>
        <w:t>хлебопекарные</w:t>
      </w:r>
      <w:r w:rsidRPr="00377E1D">
        <w:rPr>
          <w:sz w:val="28"/>
          <w:szCs w:val="28"/>
        </w:rPr>
        <w:t xml:space="preserve"> </w:t>
      </w:r>
      <w:r w:rsidRPr="00CC2FB5">
        <w:rPr>
          <w:sz w:val="28"/>
          <w:szCs w:val="28"/>
        </w:rPr>
        <w:t>дрожжи</w:t>
      </w:r>
      <w:r w:rsidRPr="00377E1D">
        <w:rPr>
          <w:sz w:val="28"/>
          <w:szCs w:val="28"/>
        </w:rPr>
        <w:t xml:space="preserve">, </w:t>
      </w:r>
      <w:r w:rsidRPr="00CC2FB5">
        <w:rPr>
          <w:sz w:val="28"/>
          <w:szCs w:val="28"/>
        </w:rPr>
        <w:t>комплексная</w:t>
      </w:r>
      <w:r w:rsidRPr="00377E1D">
        <w:rPr>
          <w:sz w:val="28"/>
          <w:szCs w:val="28"/>
        </w:rPr>
        <w:t xml:space="preserve"> </w:t>
      </w:r>
      <w:r w:rsidRPr="00CC2FB5">
        <w:rPr>
          <w:sz w:val="28"/>
          <w:szCs w:val="28"/>
        </w:rPr>
        <w:t>добавка</w:t>
      </w:r>
      <w:r w:rsidRPr="00377E1D">
        <w:rPr>
          <w:sz w:val="28"/>
          <w:szCs w:val="28"/>
        </w:rPr>
        <w:t xml:space="preserve">, </w:t>
      </w:r>
      <w:r w:rsidRPr="00CC2FB5">
        <w:rPr>
          <w:sz w:val="28"/>
          <w:szCs w:val="28"/>
        </w:rPr>
        <w:t>предварительная</w:t>
      </w:r>
      <w:r w:rsidRPr="00377E1D">
        <w:rPr>
          <w:sz w:val="28"/>
          <w:szCs w:val="28"/>
        </w:rPr>
        <w:t xml:space="preserve"> </w:t>
      </w:r>
      <w:r w:rsidRPr="00CC2FB5">
        <w:rPr>
          <w:sz w:val="28"/>
          <w:szCs w:val="28"/>
        </w:rPr>
        <w:t>активация</w:t>
      </w:r>
      <w:r w:rsidRPr="00377E1D">
        <w:rPr>
          <w:sz w:val="28"/>
          <w:szCs w:val="28"/>
        </w:rPr>
        <w:t xml:space="preserve">, </w:t>
      </w:r>
      <w:r w:rsidRPr="00CC2FB5">
        <w:rPr>
          <w:sz w:val="28"/>
          <w:szCs w:val="28"/>
        </w:rPr>
        <w:t>бродильная</w:t>
      </w:r>
      <w:r w:rsidRPr="00377E1D">
        <w:rPr>
          <w:sz w:val="28"/>
          <w:szCs w:val="28"/>
        </w:rPr>
        <w:t xml:space="preserve"> </w:t>
      </w:r>
      <w:r w:rsidRPr="00CC2FB5">
        <w:rPr>
          <w:sz w:val="28"/>
          <w:szCs w:val="28"/>
        </w:rPr>
        <w:t>активность</w:t>
      </w:r>
      <w:r w:rsidRPr="00377E1D">
        <w:rPr>
          <w:sz w:val="28"/>
          <w:szCs w:val="28"/>
        </w:rPr>
        <w:t>.</w:t>
      </w:r>
    </w:p>
    <w:p w:rsidR="00601610" w:rsidRPr="00341629" w:rsidRDefault="00601610" w:rsidP="006402F2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1629">
        <w:rPr>
          <w:rFonts w:ascii="Times New Roman" w:hAnsi="Times New Roman" w:cs="Times New Roman"/>
          <w:sz w:val="28"/>
          <w:szCs w:val="28"/>
          <w:lang w:val="en-US"/>
        </w:rPr>
        <w:t xml:space="preserve">Keywords: </w:t>
      </w:r>
      <w:r w:rsidR="00341629" w:rsidRPr="00341629">
        <w:rPr>
          <w:rFonts w:ascii="Times New Roman" w:hAnsi="Times New Roman" w:cs="Times New Roman"/>
          <w:sz w:val="28"/>
          <w:szCs w:val="28"/>
          <w:lang w:val="en-US"/>
        </w:rPr>
        <w:t xml:space="preserve">baker's yeast, </w:t>
      </w:r>
      <w:r w:rsidR="00C9513D">
        <w:rPr>
          <w:rFonts w:ascii="Times New Roman" w:hAnsi="Times New Roman" w:cs="Times New Roman"/>
          <w:sz w:val="28"/>
          <w:szCs w:val="28"/>
          <w:lang w:val="en-US"/>
        </w:rPr>
        <w:t>complex additive</w:t>
      </w:r>
      <w:r w:rsidR="00C07ADA" w:rsidRPr="00341629">
        <w:rPr>
          <w:rFonts w:ascii="Times New Roman" w:hAnsi="Times New Roman" w:cs="Times New Roman"/>
          <w:sz w:val="28"/>
          <w:szCs w:val="28"/>
          <w:lang w:val="en-US"/>
        </w:rPr>
        <w:t xml:space="preserve">, activation of yeast, </w:t>
      </w:r>
      <w:r w:rsidR="00341629" w:rsidRPr="00341629">
        <w:rPr>
          <w:rFonts w:ascii="Times New Roman" w:hAnsi="Times New Roman" w:cs="Times New Roman"/>
          <w:sz w:val="28"/>
          <w:szCs w:val="28"/>
          <w:lang w:val="en-US"/>
        </w:rPr>
        <w:t>fermentation activity.</w:t>
      </w:r>
    </w:p>
    <w:p w:rsidR="00A73B71" w:rsidRPr="00CC2FB5" w:rsidRDefault="00A73B71" w:rsidP="006402F2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FB5">
        <w:rPr>
          <w:rFonts w:ascii="Times New Roman" w:hAnsi="Times New Roman" w:cs="Times New Roman"/>
          <w:spacing w:val="-4"/>
          <w:sz w:val="28"/>
          <w:szCs w:val="28"/>
        </w:rPr>
        <w:t xml:space="preserve">Р.Р. Левашов, аспирант </w:t>
      </w:r>
      <w:r w:rsidRPr="00CC2FB5">
        <w:rPr>
          <w:rFonts w:ascii="Times New Roman" w:hAnsi="Times New Roman" w:cs="Times New Roman"/>
          <w:sz w:val="28"/>
          <w:szCs w:val="28"/>
        </w:rPr>
        <w:t>кафедры техно</w:t>
      </w:r>
      <w:r w:rsidR="000E2390" w:rsidRPr="00CC2FB5">
        <w:rPr>
          <w:rFonts w:ascii="Times New Roman" w:hAnsi="Times New Roman" w:cs="Times New Roman"/>
          <w:sz w:val="28"/>
          <w:szCs w:val="28"/>
        </w:rPr>
        <w:t xml:space="preserve">логии пищевых производств </w:t>
      </w:r>
      <w:r w:rsidR="00CC2FB5">
        <w:rPr>
          <w:rFonts w:ascii="Times New Roman" w:hAnsi="Times New Roman" w:cs="Times New Roman"/>
          <w:sz w:val="28"/>
          <w:szCs w:val="28"/>
        </w:rPr>
        <w:t>Казанского национального исследовательского технологического университета.</w:t>
      </w:r>
    </w:p>
    <w:p w:rsidR="00A73B71" w:rsidRPr="00CC2FB5" w:rsidRDefault="00A73B71" w:rsidP="006402F2">
      <w:pPr>
        <w:pStyle w:val="21"/>
        <w:spacing w:line="240" w:lineRule="auto"/>
        <w:ind w:left="0"/>
        <w:contextualSpacing/>
        <w:jc w:val="both"/>
        <w:rPr>
          <w:sz w:val="28"/>
          <w:szCs w:val="28"/>
        </w:rPr>
      </w:pPr>
      <w:r w:rsidRPr="00CC2FB5">
        <w:rPr>
          <w:sz w:val="28"/>
          <w:szCs w:val="28"/>
        </w:rPr>
        <w:t xml:space="preserve">З.Ш. Мингалеева, </w:t>
      </w:r>
      <w:proofErr w:type="spellStart"/>
      <w:r w:rsidRPr="00CC2FB5">
        <w:rPr>
          <w:sz w:val="28"/>
          <w:szCs w:val="28"/>
        </w:rPr>
        <w:t>д.т</w:t>
      </w:r>
      <w:proofErr w:type="gramStart"/>
      <w:r w:rsidRPr="00CC2FB5">
        <w:rPr>
          <w:sz w:val="28"/>
          <w:szCs w:val="28"/>
        </w:rPr>
        <w:t>.н</w:t>
      </w:r>
      <w:proofErr w:type="spellEnd"/>
      <w:proofErr w:type="gramEnd"/>
      <w:r w:rsidRPr="00CC2FB5">
        <w:rPr>
          <w:sz w:val="28"/>
          <w:szCs w:val="28"/>
        </w:rPr>
        <w:t>, профессор кафедры техно</w:t>
      </w:r>
      <w:r w:rsidR="000E2390" w:rsidRPr="00CC2FB5">
        <w:rPr>
          <w:sz w:val="28"/>
          <w:szCs w:val="28"/>
        </w:rPr>
        <w:t xml:space="preserve">логии пищевых производств </w:t>
      </w:r>
      <w:r w:rsidR="00CC2FB5">
        <w:rPr>
          <w:sz w:val="28"/>
          <w:szCs w:val="28"/>
        </w:rPr>
        <w:t>Казанского национального исследовательского технологического университета.</w:t>
      </w:r>
    </w:p>
    <w:p w:rsidR="00A73B71" w:rsidRPr="00CC2FB5" w:rsidRDefault="00A73B71" w:rsidP="00601610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FB5">
        <w:rPr>
          <w:rFonts w:ascii="Times New Roman" w:hAnsi="Times New Roman" w:cs="Times New Roman"/>
          <w:sz w:val="28"/>
          <w:szCs w:val="28"/>
          <w:lang w:val="en-US"/>
        </w:rPr>
        <w:t xml:space="preserve">R.R. </w:t>
      </w:r>
      <w:proofErr w:type="spellStart"/>
      <w:r w:rsidRPr="00CC2FB5">
        <w:rPr>
          <w:rFonts w:ascii="Times New Roman" w:hAnsi="Times New Roman" w:cs="Times New Roman"/>
          <w:sz w:val="28"/>
          <w:szCs w:val="28"/>
          <w:lang w:val="en-US"/>
        </w:rPr>
        <w:t>Levashov</w:t>
      </w:r>
      <w:proofErr w:type="spellEnd"/>
      <w:r w:rsidRPr="00CC2FB5">
        <w:rPr>
          <w:rFonts w:ascii="Times New Roman" w:hAnsi="Times New Roman" w:cs="Times New Roman"/>
          <w:sz w:val="28"/>
          <w:szCs w:val="28"/>
          <w:lang w:val="en-US"/>
        </w:rPr>
        <w:t xml:space="preserve"> graduate of the Department of Technology of Food Productions from Faculty of Food Technology </w:t>
      </w:r>
      <w:proofErr w:type="gramStart"/>
      <w:r w:rsidRPr="00CC2FB5">
        <w:rPr>
          <w:rFonts w:ascii="Times New Roman" w:hAnsi="Times New Roman" w:cs="Times New Roman"/>
          <w:sz w:val="28"/>
          <w:szCs w:val="28"/>
          <w:lang w:val="en-US"/>
        </w:rPr>
        <w:t>in  Kazan</w:t>
      </w:r>
      <w:proofErr w:type="gramEnd"/>
      <w:r w:rsidRPr="00CC2FB5">
        <w:rPr>
          <w:rFonts w:ascii="Times New Roman" w:hAnsi="Times New Roman" w:cs="Times New Roman"/>
          <w:sz w:val="28"/>
          <w:szCs w:val="28"/>
          <w:lang w:val="en-US"/>
        </w:rPr>
        <w:t xml:space="preserve"> National Research Technological University (levashov.ramil@mail.ru)</w:t>
      </w:r>
      <w:r w:rsidR="000E2390" w:rsidRPr="00CC2FB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5312A" w:rsidRPr="00CC2FB5" w:rsidRDefault="00A73B71" w:rsidP="00572783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FB5">
        <w:rPr>
          <w:rFonts w:ascii="Times New Roman" w:hAnsi="Times New Roman" w:cs="Times New Roman"/>
          <w:sz w:val="28"/>
          <w:szCs w:val="28"/>
          <w:lang w:val="en-US"/>
        </w:rPr>
        <w:t xml:space="preserve">Z.SH. </w:t>
      </w:r>
      <w:proofErr w:type="spellStart"/>
      <w:r w:rsidRPr="00CC2FB5">
        <w:rPr>
          <w:rFonts w:ascii="Times New Roman" w:hAnsi="Times New Roman" w:cs="Times New Roman"/>
          <w:sz w:val="28"/>
          <w:szCs w:val="28"/>
          <w:lang w:val="en-US"/>
        </w:rPr>
        <w:t>Mingaleeva</w:t>
      </w:r>
      <w:proofErr w:type="spellEnd"/>
      <w:r w:rsidRPr="00CC2FB5">
        <w:rPr>
          <w:rFonts w:ascii="Times New Roman" w:hAnsi="Times New Roman" w:cs="Times New Roman"/>
          <w:sz w:val="28"/>
          <w:szCs w:val="28"/>
          <w:lang w:val="en-US"/>
        </w:rPr>
        <w:t xml:space="preserve"> Doctor of Engineering Sciences, Professor of the Department of Technology of Food Productions from Faculty of Food Technology </w:t>
      </w:r>
      <w:proofErr w:type="gramStart"/>
      <w:r w:rsidRPr="00CC2FB5">
        <w:rPr>
          <w:rFonts w:ascii="Times New Roman" w:hAnsi="Times New Roman" w:cs="Times New Roman"/>
          <w:sz w:val="28"/>
          <w:szCs w:val="28"/>
          <w:lang w:val="en-US"/>
        </w:rPr>
        <w:t>in  Kazan</w:t>
      </w:r>
      <w:proofErr w:type="gramEnd"/>
      <w:r w:rsidRPr="00CC2FB5">
        <w:rPr>
          <w:rFonts w:ascii="Times New Roman" w:hAnsi="Times New Roman" w:cs="Times New Roman"/>
          <w:sz w:val="28"/>
          <w:szCs w:val="28"/>
          <w:lang w:val="en-US"/>
        </w:rPr>
        <w:t xml:space="preserve"> National Research Technological University (mingaleeva06@mail.ru)</w:t>
      </w:r>
      <w:r w:rsidR="000E2390" w:rsidRPr="00CC2FB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72783" w:rsidRPr="00572783" w:rsidRDefault="00572783" w:rsidP="00A44F9A">
      <w:pPr>
        <w:pStyle w:val="a6"/>
        <w:contextualSpacing/>
        <w:jc w:val="both"/>
        <w:rPr>
          <w:sz w:val="28"/>
          <w:szCs w:val="28"/>
          <w:lang w:val="en-US"/>
        </w:rPr>
      </w:pPr>
    </w:p>
    <w:p w:rsidR="00E5312A" w:rsidRPr="00A44F9A" w:rsidRDefault="00E5312A" w:rsidP="00A44F9A">
      <w:pPr>
        <w:pStyle w:val="a6"/>
        <w:contextualSpacing/>
        <w:jc w:val="both"/>
        <w:rPr>
          <w:sz w:val="28"/>
          <w:szCs w:val="28"/>
        </w:rPr>
      </w:pPr>
      <w:r w:rsidRPr="00A44F9A">
        <w:rPr>
          <w:sz w:val="28"/>
          <w:szCs w:val="28"/>
        </w:rPr>
        <w:t xml:space="preserve">При производстве хлебопекарных прессованных дрожжей для ускорения роста биомассы дрожжи </w:t>
      </w:r>
      <w:proofErr w:type="spellStart"/>
      <w:r w:rsidRPr="00A44F9A">
        <w:rPr>
          <w:i/>
          <w:sz w:val="28"/>
          <w:szCs w:val="28"/>
          <w:lang w:val="en-US"/>
        </w:rPr>
        <w:t>Saccharomyces</w:t>
      </w:r>
      <w:proofErr w:type="spellEnd"/>
      <w:r w:rsidRPr="00A44F9A">
        <w:rPr>
          <w:i/>
          <w:sz w:val="28"/>
          <w:szCs w:val="28"/>
        </w:rPr>
        <w:t xml:space="preserve"> </w:t>
      </w:r>
      <w:r w:rsidRPr="00A44F9A">
        <w:rPr>
          <w:i/>
          <w:sz w:val="28"/>
          <w:szCs w:val="28"/>
          <w:lang w:val="en-US"/>
        </w:rPr>
        <w:t>cerevisiae</w:t>
      </w:r>
      <w:r w:rsidRPr="00A44F9A">
        <w:rPr>
          <w:sz w:val="28"/>
          <w:szCs w:val="28"/>
        </w:rPr>
        <w:t xml:space="preserve"> культивируются в аэробных условиях. На хлебопекарных предприятиях после замеса теста дрожжи попадают в условия близкие к </w:t>
      </w:r>
      <w:proofErr w:type="gramStart"/>
      <w:r w:rsidRPr="00A44F9A">
        <w:rPr>
          <w:sz w:val="28"/>
          <w:szCs w:val="28"/>
        </w:rPr>
        <w:t>анаэробным</w:t>
      </w:r>
      <w:proofErr w:type="gramEnd"/>
      <w:r w:rsidRPr="00A44F9A">
        <w:rPr>
          <w:sz w:val="28"/>
          <w:szCs w:val="28"/>
        </w:rPr>
        <w:t>. Для перестройки ферментных систем дрожжей с аэробного на анаэробный процесс получения энергии требуется определенное время. Экономически и технологически более целесообразно создать условия для перестройки ферментных систем путем предварительной активации дрожжей [1].</w:t>
      </w:r>
    </w:p>
    <w:p w:rsidR="00E5312A" w:rsidRPr="00A44F9A" w:rsidRDefault="00E5312A" w:rsidP="00A44F9A">
      <w:pPr>
        <w:pStyle w:val="a6"/>
        <w:contextualSpacing/>
        <w:jc w:val="both"/>
        <w:rPr>
          <w:sz w:val="28"/>
          <w:szCs w:val="28"/>
        </w:rPr>
      </w:pPr>
      <w:r w:rsidRPr="00A44F9A">
        <w:rPr>
          <w:sz w:val="28"/>
          <w:szCs w:val="28"/>
        </w:rPr>
        <w:lastRenderedPageBreak/>
        <w:t xml:space="preserve">Процесс активации хлебопекарных дрожжей заключается в использовании определенных активаторов, ускоряющих биохимические процессы в дрожжевой клетке [2]. </w:t>
      </w:r>
    </w:p>
    <w:p w:rsidR="00E5312A" w:rsidRPr="00A44F9A" w:rsidRDefault="00E5312A" w:rsidP="00572783">
      <w:pPr>
        <w:pStyle w:val="a6"/>
        <w:contextualSpacing/>
        <w:jc w:val="both"/>
        <w:rPr>
          <w:sz w:val="28"/>
          <w:szCs w:val="28"/>
        </w:rPr>
      </w:pPr>
      <w:r w:rsidRPr="00A44F9A">
        <w:rPr>
          <w:sz w:val="28"/>
          <w:szCs w:val="28"/>
        </w:rPr>
        <w:t xml:space="preserve">В составе исследуемой комплексной добавки </w:t>
      </w:r>
      <w:r w:rsidR="00572783">
        <w:rPr>
          <w:sz w:val="28"/>
          <w:szCs w:val="28"/>
        </w:rPr>
        <w:t>вошли: полбяная мука, овсяная мука, мука пшеничная обойная, порошок ягод калины, экстракт пихты сибирской.</w:t>
      </w:r>
    </w:p>
    <w:p w:rsidR="00E5312A" w:rsidRPr="00A44F9A" w:rsidRDefault="00E5312A" w:rsidP="00A44F9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F9A">
        <w:rPr>
          <w:rFonts w:ascii="Times New Roman" w:eastAsia="Times New Roman" w:hAnsi="Times New Roman" w:cs="Times New Roman"/>
          <w:sz w:val="28"/>
          <w:szCs w:val="28"/>
        </w:rPr>
        <w:t xml:space="preserve">Цель работы - исследование предварительной активации </w:t>
      </w:r>
      <w:r w:rsidRPr="00A44F9A">
        <w:rPr>
          <w:rFonts w:ascii="Times New Roman" w:hAnsi="Times New Roman" w:cs="Times New Roman"/>
          <w:sz w:val="28"/>
          <w:szCs w:val="28"/>
        </w:rPr>
        <w:t>прессованных хлебопекарных дрожжей</w:t>
      </w:r>
      <w:r w:rsidRPr="00A44F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4F9A">
        <w:rPr>
          <w:rFonts w:ascii="Times New Roman" w:hAnsi="Times New Roman" w:cs="Times New Roman"/>
          <w:sz w:val="28"/>
          <w:szCs w:val="28"/>
        </w:rPr>
        <w:t>на их броди</w:t>
      </w:r>
      <w:r w:rsidR="00572783">
        <w:rPr>
          <w:rFonts w:ascii="Times New Roman" w:hAnsi="Times New Roman" w:cs="Times New Roman"/>
          <w:sz w:val="28"/>
          <w:szCs w:val="28"/>
        </w:rPr>
        <w:t>льную активность.</w:t>
      </w:r>
      <w:r w:rsidRPr="00A44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783" w:rsidRDefault="00E5312A" w:rsidP="00A44F9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F9A">
        <w:rPr>
          <w:rFonts w:ascii="Times New Roman" w:hAnsi="Times New Roman" w:cs="Times New Roman"/>
          <w:sz w:val="28"/>
          <w:szCs w:val="28"/>
        </w:rPr>
        <w:t>Предварительную активацию дрожжей проводили следующим способом: готовили питательную среду из комплексной добавки (КД) и воды, затем необходимое по методике (рецептуре) количество дрожжей выдерживали в питательной среде при температуре 30</w:t>
      </w:r>
      <w:proofErr w:type="gramStart"/>
      <w:r w:rsidRPr="00A44F9A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A44F9A">
        <w:rPr>
          <w:rFonts w:ascii="Times New Roman" w:hAnsi="Times New Roman" w:cs="Times New Roman"/>
          <w:sz w:val="28"/>
          <w:szCs w:val="28"/>
        </w:rPr>
        <w:t xml:space="preserve"> в течение 15 минут. Использовали следующее соотношение компонентов – дрожжи</w:t>
      </w:r>
      <w:proofErr w:type="gramStart"/>
      <w:r w:rsidRPr="00A4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44F9A">
        <w:rPr>
          <w:rFonts w:ascii="Times New Roman" w:hAnsi="Times New Roman" w:cs="Times New Roman"/>
          <w:sz w:val="28"/>
          <w:szCs w:val="28"/>
        </w:rPr>
        <w:t xml:space="preserve"> КД</w:t>
      </w:r>
      <w:proofErr w:type="gramStart"/>
      <w:r w:rsidRPr="00A44F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44F9A">
        <w:rPr>
          <w:rFonts w:ascii="Times New Roman" w:hAnsi="Times New Roman" w:cs="Times New Roman"/>
          <w:sz w:val="28"/>
          <w:szCs w:val="28"/>
        </w:rPr>
        <w:t xml:space="preserve"> вода – 2:5:5; 2:10:10; 2:15:15; 2:20:20. При замесе образцов теста делали замену пшеничной муки на то количество комплексной добавки, которое использовалось при предварительной активации.</w:t>
      </w:r>
      <w:r w:rsidR="00572783">
        <w:rPr>
          <w:rFonts w:ascii="Times New Roman" w:hAnsi="Times New Roman" w:cs="Times New Roman"/>
          <w:sz w:val="28"/>
          <w:szCs w:val="28"/>
        </w:rPr>
        <w:t xml:space="preserve"> </w:t>
      </w:r>
      <w:r w:rsidR="00CC2FB5">
        <w:rPr>
          <w:rFonts w:ascii="Times New Roman" w:hAnsi="Times New Roman" w:cs="Times New Roman"/>
          <w:sz w:val="28"/>
          <w:szCs w:val="28"/>
        </w:rPr>
        <w:t>В таблице 1 приведены результаты исследований по подъемной силе.</w:t>
      </w:r>
    </w:p>
    <w:p w:rsidR="00CC2FB5" w:rsidRDefault="00CC2FB5" w:rsidP="00A44F9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2FB5" w:rsidRPr="00A44F9A" w:rsidRDefault="00CC2FB5" w:rsidP="00CC2FB5">
      <w:pPr>
        <w:pStyle w:val="a6"/>
        <w:contextualSpacing/>
        <w:jc w:val="both"/>
        <w:rPr>
          <w:sz w:val="28"/>
          <w:szCs w:val="26"/>
        </w:rPr>
      </w:pPr>
      <w:r>
        <w:rPr>
          <w:sz w:val="28"/>
          <w:szCs w:val="26"/>
        </w:rPr>
        <w:t>Таблица 1</w:t>
      </w:r>
      <w:r w:rsidRPr="00A44F9A">
        <w:rPr>
          <w:sz w:val="28"/>
          <w:szCs w:val="26"/>
        </w:rPr>
        <w:t xml:space="preserve"> – Влияние комплексной добавки на подъемную силу дрожжей</w:t>
      </w:r>
    </w:p>
    <w:tbl>
      <w:tblPr>
        <w:tblStyle w:val="ab"/>
        <w:tblW w:w="5000" w:type="pct"/>
        <w:tblLook w:val="04A0"/>
      </w:tblPr>
      <w:tblGrid>
        <w:gridCol w:w="1508"/>
        <w:gridCol w:w="2585"/>
        <w:gridCol w:w="1831"/>
        <w:gridCol w:w="1709"/>
        <w:gridCol w:w="1653"/>
      </w:tblGrid>
      <w:tr w:rsidR="00CC2FB5" w:rsidRPr="00A44F9A" w:rsidTr="002501B2">
        <w:tc>
          <w:tcPr>
            <w:tcW w:w="3190" w:type="pct"/>
            <w:gridSpan w:val="3"/>
            <w:tcBorders>
              <w:right w:val="single" w:sz="4" w:space="0" w:color="auto"/>
            </w:tcBorders>
            <w:vAlign w:val="center"/>
          </w:tcPr>
          <w:p w:rsidR="00CC2FB5" w:rsidRPr="00A44F9A" w:rsidRDefault="00CC2FB5" w:rsidP="002501B2">
            <w:pPr>
              <w:pStyle w:val="a6"/>
              <w:contextualSpacing/>
              <w:jc w:val="center"/>
              <w:rPr>
                <w:sz w:val="28"/>
                <w:szCs w:val="26"/>
                <w:lang w:val="ru-RU"/>
              </w:rPr>
            </w:pPr>
            <w:r w:rsidRPr="00A44F9A">
              <w:rPr>
                <w:sz w:val="28"/>
                <w:szCs w:val="26"/>
                <w:lang w:val="ru-RU"/>
              </w:rPr>
              <w:t>Соотношение компонентов</w:t>
            </w:r>
          </w:p>
        </w:tc>
        <w:tc>
          <w:tcPr>
            <w:tcW w:w="1810" w:type="pct"/>
            <w:gridSpan w:val="2"/>
            <w:tcBorders>
              <w:left w:val="single" w:sz="4" w:space="0" w:color="auto"/>
            </w:tcBorders>
            <w:vAlign w:val="center"/>
          </w:tcPr>
          <w:p w:rsidR="00CC2FB5" w:rsidRPr="00A44F9A" w:rsidRDefault="00CC2FB5" w:rsidP="002501B2">
            <w:pPr>
              <w:pStyle w:val="a6"/>
              <w:contextualSpacing/>
              <w:jc w:val="center"/>
              <w:rPr>
                <w:sz w:val="28"/>
                <w:szCs w:val="26"/>
                <w:lang w:val="ru-RU"/>
              </w:rPr>
            </w:pPr>
            <w:r w:rsidRPr="00A44F9A">
              <w:rPr>
                <w:sz w:val="28"/>
                <w:szCs w:val="26"/>
                <w:lang w:val="ru-RU"/>
              </w:rPr>
              <w:t>Подъемная сила, мин</w:t>
            </w:r>
          </w:p>
        </w:tc>
      </w:tr>
      <w:tr w:rsidR="00CC2FB5" w:rsidRPr="00A44F9A" w:rsidTr="002501B2">
        <w:tc>
          <w:tcPr>
            <w:tcW w:w="812" w:type="pct"/>
            <w:vAlign w:val="center"/>
          </w:tcPr>
          <w:p w:rsidR="00CC2FB5" w:rsidRPr="00A44F9A" w:rsidRDefault="00CC2FB5" w:rsidP="002501B2">
            <w:pPr>
              <w:pStyle w:val="a6"/>
              <w:contextualSpacing/>
              <w:jc w:val="center"/>
              <w:rPr>
                <w:sz w:val="28"/>
                <w:szCs w:val="26"/>
                <w:lang w:val="ru-RU"/>
              </w:rPr>
            </w:pPr>
            <w:r w:rsidRPr="00A44F9A">
              <w:rPr>
                <w:sz w:val="28"/>
                <w:szCs w:val="26"/>
                <w:lang w:val="ru-RU"/>
              </w:rPr>
              <w:t>Дрожжи</w:t>
            </w:r>
          </w:p>
        </w:tc>
        <w:tc>
          <w:tcPr>
            <w:tcW w:w="1392" w:type="pct"/>
            <w:vAlign w:val="center"/>
          </w:tcPr>
          <w:p w:rsidR="00CC2FB5" w:rsidRPr="00A44F9A" w:rsidRDefault="00CC2FB5" w:rsidP="002501B2">
            <w:pPr>
              <w:pStyle w:val="a6"/>
              <w:contextualSpacing/>
              <w:jc w:val="center"/>
              <w:rPr>
                <w:sz w:val="28"/>
                <w:szCs w:val="26"/>
                <w:lang w:val="ru-RU"/>
              </w:rPr>
            </w:pPr>
            <w:r w:rsidRPr="00A44F9A">
              <w:rPr>
                <w:sz w:val="28"/>
                <w:szCs w:val="26"/>
                <w:lang w:val="ru-RU"/>
              </w:rPr>
              <w:t>Комплексная добавка</w:t>
            </w:r>
          </w:p>
        </w:tc>
        <w:tc>
          <w:tcPr>
            <w:tcW w:w="986" w:type="pct"/>
            <w:tcBorders>
              <w:right w:val="single" w:sz="4" w:space="0" w:color="auto"/>
            </w:tcBorders>
            <w:vAlign w:val="center"/>
          </w:tcPr>
          <w:p w:rsidR="00CC2FB5" w:rsidRPr="00A44F9A" w:rsidRDefault="00CC2FB5" w:rsidP="002501B2">
            <w:pPr>
              <w:pStyle w:val="a6"/>
              <w:contextualSpacing/>
              <w:jc w:val="center"/>
              <w:rPr>
                <w:sz w:val="28"/>
                <w:szCs w:val="26"/>
                <w:lang w:val="ru-RU"/>
              </w:rPr>
            </w:pPr>
            <w:r w:rsidRPr="00A44F9A">
              <w:rPr>
                <w:sz w:val="28"/>
                <w:szCs w:val="26"/>
                <w:lang w:val="ru-RU"/>
              </w:rPr>
              <w:t>Вода</w:t>
            </w:r>
          </w:p>
        </w:tc>
        <w:tc>
          <w:tcPr>
            <w:tcW w:w="920" w:type="pct"/>
            <w:tcBorders>
              <w:left w:val="single" w:sz="4" w:space="0" w:color="auto"/>
            </w:tcBorders>
            <w:vAlign w:val="center"/>
          </w:tcPr>
          <w:p w:rsidR="00CC2FB5" w:rsidRPr="00A44F9A" w:rsidRDefault="00CC2FB5" w:rsidP="002501B2">
            <w:pPr>
              <w:pStyle w:val="a6"/>
              <w:contextualSpacing/>
              <w:jc w:val="center"/>
              <w:rPr>
                <w:sz w:val="28"/>
                <w:szCs w:val="26"/>
                <w:lang w:val="ru-RU"/>
              </w:rPr>
            </w:pPr>
            <w:r w:rsidRPr="00A44F9A">
              <w:rPr>
                <w:sz w:val="28"/>
                <w:szCs w:val="26"/>
                <w:lang w:val="ru-RU"/>
              </w:rPr>
              <w:t>Контроль</w:t>
            </w:r>
          </w:p>
        </w:tc>
        <w:tc>
          <w:tcPr>
            <w:tcW w:w="890" w:type="pct"/>
            <w:vAlign w:val="center"/>
          </w:tcPr>
          <w:p w:rsidR="00CC2FB5" w:rsidRPr="00A44F9A" w:rsidRDefault="00CC2FB5" w:rsidP="002501B2">
            <w:pPr>
              <w:pStyle w:val="a6"/>
              <w:contextualSpacing/>
              <w:jc w:val="center"/>
              <w:rPr>
                <w:sz w:val="28"/>
                <w:szCs w:val="26"/>
                <w:lang w:val="ru-RU"/>
              </w:rPr>
            </w:pPr>
            <w:r w:rsidRPr="00A44F9A">
              <w:rPr>
                <w:sz w:val="28"/>
                <w:szCs w:val="26"/>
                <w:lang w:val="ru-RU"/>
              </w:rPr>
              <w:t>Опыт</w:t>
            </w:r>
          </w:p>
        </w:tc>
      </w:tr>
      <w:tr w:rsidR="00CC2FB5" w:rsidRPr="00A44F9A" w:rsidTr="002501B2">
        <w:tc>
          <w:tcPr>
            <w:tcW w:w="812" w:type="pct"/>
            <w:vAlign w:val="center"/>
          </w:tcPr>
          <w:p w:rsidR="00CC2FB5" w:rsidRPr="00A44F9A" w:rsidRDefault="00CC2FB5" w:rsidP="002501B2">
            <w:pPr>
              <w:pStyle w:val="a6"/>
              <w:contextualSpacing/>
              <w:jc w:val="center"/>
              <w:rPr>
                <w:sz w:val="28"/>
                <w:szCs w:val="26"/>
                <w:lang w:val="ru-RU"/>
              </w:rPr>
            </w:pPr>
            <w:r w:rsidRPr="00A44F9A">
              <w:rPr>
                <w:sz w:val="28"/>
                <w:szCs w:val="26"/>
                <w:lang w:val="ru-RU"/>
              </w:rPr>
              <w:t>-</w:t>
            </w:r>
          </w:p>
        </w:tc>
        <w:tc>
          <w:tcPr>
            <w:tcW w:w="1392" w:type="pct"/>
            <w:vAlign w:val="center"/>
          </w:tcPr>
          <w:p w:rsidR="00CC2FB5" w:rsidRPr="00A44F9A" w:rsidRDefault="00CC2FB5" w:rsidP="002501B2">
            <w:pPr>
              <w:pStyle w:val="a6"/>
              <w:contextualSpacing/>
              <w:jc w:val="center"/>
              <w:rPr>
                <w:sz w:val="28"/>
                <w:szCs w:val="26"/>
                <w:lang w:val="ru-RU"/>
              </w:rPr>
            </w:pPr>
            <w:r w:rsidRPr="00A44F9A">
              <w:rPr>
                <w:sz w:val="28"/>
                <w:szCs w:val="26"/>
                <w:lang w:val="ru-RU"/>
              </w:rPr>
              <w:t>-</w:t>
            </w:r>
          </w:p>
        </w:tc>
        <w:tc>
          <w:tcPr>
            <w:tcW w:w="986" w:type="pct"/>
            <w:tcBorders>
              <w:right w:val="single" w:sz="4" w:space="0" w:color="auto"/>
            </w:tcBorders>
            <w:vAlign w:val="center"/>
          </w:tcPr>
          <w:p w:rsidR="00CC2FB5" w:rsidRPr="00A44F9A" w:rsidRDefault="00CC2FB5" w:rsidP="002501B2">
            <w:pPr>
              <w:pStyle w:val="a6"/>
              <w:contextualSpacing/>
              <w:jc w:val="center"/>
              <w:rPr>
                <w:sz w:val="28"/>
                <w:szCs w:val="26"/>
                <w:lang w:val="ru-RU"/>
              </w:rPr>
            </w:pPr>
            <w:r w:rsidRPr="00A44F9A">
              <w:rPr>
                <w:sz w:val="28"/>
                <w:szCs w:val="26"/>
                <w:lang w:val="ru-RU"/>
              </w:rPr>
              <w:t>-</w:t>
            </w:r>
          </w:p>
        </w:tc>
        <w:tc>
          <w:tcPr>
            <w:tcW w:w="920" w:type="pct"/>
            <w:tcBorders>
              <w:left w:val="single" w:sz="4" w:space="0" w:color="auto"/>
            </w:tcBorders>
            <w:vAlign w:val="center"/>
          </w:tcPr>
          <w:p w:rsidR="00CC2FB5" w:rsidRPr="00A44F9A" w:rsidRDefault="00CC2FB5" w:rsidP="002501B2">
            <w:pPr>
              <w:pStyle w:val="a6"/>
              <w:contextualSpacing/>
              <w:jc w:val="center"/>
              <w:rPr>
                <w:sz w:val="28"/>
                <w:szCs w:val="26"/>
                <w:lang w:val="ru-RU"/>
              </w:rPr>
            </w:pPr>
            <w:r w:rsidRPr="00A44F9A">
              <w:rPr>
                <w:sz w:val="28"/>
                <w:szCs w:val="26"/>
                <w:lang w:val="ru-RU"/>
              </w:rPr>
              <w:t>41</w:t>
            </w:r>
            <w:r w:rsidRPr="00A44F9A">
              <w:rPr>
                <w:sz w:val="28"/>
                <w:szCs w:val="26"/>
                <w:lang w:val="ru-RU" w:bidi="ar-SA"/>
              </w:rPr>
              <w:object w:dxaOrig="22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9pt;height:12.55pt" o:ole="">
                  <v:imagedata r:id="rId7" o:title=""/>
                </v:shape>
                <o:OLEObject Type="Embed" ProgID="Equation.3" ShapeID="_x0000_i1025" DrawAspect="Content" ObjectID="_1572610251" r:id="rId8"/>
              </w:object>
            </w:r>
            <w:r w:rsidRPr="00A44F9A">
              <w:rPr>
                <w:sz w:val="28"/>
                <w:szCs w:val="26"/>
                <w:lang w:val="ru-RU"/>
              </w:rPr>
              <w:t>1,0</w:t>
            </w:r>
          </w:p>
        </w:tc>
        <w:tc>
          <w:tcPr>
            <w:tcW w:w="890" w:type="pct"/>
            <w:vAlign w:val="center"/>
          </w:tcPr>
          <w:p w:rsidR="00CC2FB5" w:rsidRPr="00A44F9A" w:rsidRDefault="00CC2FB5" w:rsidP="002501B2">
            <w:pPr>
              <w:pStyle w:val="a6"/>
              <w:contextualSpacing/>
              <w:jc w:val="center"/>
              <w:rPr>
                <w:sz w:val="28"/>
                <w:szCs w:val="26"/>
                <w:lang w:val="ru-RU"/>
              </w:rPr>
            </w:pPr>
            <w:r w:rsidRPr="00A44F9A">
              <w:rPr>
                <w:sz w:val="28"/>
                <w:szCs w:val="26"/>
                <w:lang w:val="ru-RU"/>
              </w:rPr>
              <w:t>-</w:t>
            </w:r>
          </w:p>
        </w:tc>
      </w:tr>
      <w:tr w:rsidR="00CC2FB5" w:rsidRPr="00A44F9A" w:rsidTr="002501B2">
        <w:tc>
          <w:tcPr>
            <w:tcW w:w="812" w:type="pct"/>
            <w:vAlign w:val="center"/>
          </w:tcPr>
          <w:p w:rsidR="00CC2FB5" w:rsidRPr="00A44F9A" w:rsidRDefault="00CC2FB5" w:rsidP="002501B2">
            <w:pPr>
              <w:pStyle w:val="a6"/>
              <w:contextualSpacing/>
              <w:jc w:val="center"/>
              <w:rPr>
                <w:sz w:val="28"/>
                <w:szCs w:val="26"/>
                <w:lang w:val="ru-RU"/>
              </w:rPr>
            </w:pPr>
            <w:r w:rsidRPr="00A44F9A">
              <w:rPr>
                <w:sz w:val="28"/>
                <w:szCs w:val="26"/>
                <w:lang w:val="ru-RU"/>
              </w:rPr>
              <w:t>2</w:t>
            </w:r>
          </w:p>
        </w:tc>
        <w:tc>
          <w:tcPr>
            <w:tcW w:w="1392" w:type="pct"/>
            <w:vAlign w:val="center"/>
          </w:tcPr>
          <w:p w:rsidR="00CC2FB5" w:rsidRPr="00A44F9A" w:rsidRDefault="00CC2FB5" w:rsidP="002501B2">
            <w:pPr>
              <w:pStyle w:val="a6"/>
              <w:contextualSpacing/>
              <w:jc w:val="center"/>
              <w:rPr>
                <w:sz w:val="28"/>
                <w:szCs w:val="26"/>
                <w:lang w:val="ru-RU"/>
              </w:rPr>
            </w:pPr>
            <w:r w:rsidRPr="00A44F9A">
              <w:rPr>
                <w:sz w:val="28"/>
                <w:szCs w:val="26"/>
                <w:lang w:val="ru-RU"/>
              </w:rPr>
              <w:t>5</w:t>
            </w:r>
          </w:p>
        </w:tc>
        <w:tc>
          <w:tcPr>
            <w:tcW w:w="986" w:type="pct"/>
            <w:tcBorders>
              <w:right w:val="single" w:sz="4" w:space="0" w:color="auto"/>
            </w:tcBorders>
            <w:vAlign w:val="center"/>
          </w:tcPr>
          <w:p w:rsidR="00CC2FB5" w:rsidRPr="00A44F9A" w:rsidRDefault="00CC2FB5" w:rsidP="002501B2">
            <w:pPr>
              <w:pStyle w:val="a6"/>
              <w:contextualSpacing/>
              <w:jc w:val="center"/>
              <w:rPr>
                <w:sz w:val="28"/>
                <w:szCs w:val="26"/>
                <w:lang w:val="ru-RU"/>
              </w:rPr>
            </w:pPr>
            <w:r w:rsidRPr="00A44F9A">
              <w:rPr>
                <w:sz w:val="28"/>
                <w:szCs w:val="26"/>
                <w:lang w:val="ru-RU"/>
              </w:rPr>
              <w:t>5</w:t>
            </w:r>
          </w:p>
        </w:tc>
        <w:tc>
          <w:tcPr>
            <w:tcW w:w="920" w:type="pct"/>
            <w:tcBorders>
              <w:left w:val="single" w:sz="4" w:space="0" w:color="auto"/>
            </w:tcBorders>
            <w:vAlign w:val="center"/>
          </w:tcPr>
          <w:p w:rsidR="00CC2FB5" w:rsidRPr="00A44F9A" w:rsidRDefault="00CC2FB5" w:rsidP="002501B2">
            <w:pPr>
              <w:pStyle w:val="a6"/>
              <w:contextualSpacing/>
              <w:jc w:val="center"/>
              <w:rPr>
                <w:sz w:val="28"/>
                <w:szCs w:val="26"/>
                <w:lang w:val="ru-RU"/>
              </w:rPr>
            </w:pPr>
            <w:r w:rsidRPr="00A44F9A">
              <w:rPr>
                <w:sz w:val="28"/>
                <w:szCs w:val="26"/>
                <w:lang w:val="ru-RU"/>
              </w:rPr>
              <w:t>-</w:t>
            </w:r>
          </w:p>
        </w:tc>
        <w:tc>
          <w:tcPr>
            <w:tcW w:w="890" w:type="pct"/>
            <w:vAlign w:val="center"/>
          </w:tcPr>
          <w:p w:rsidR="00CC2FB5" w:rsidRPr="00A44F9A" w:rsidRDefault="00CC2FB5" w:rsidP="002501B2">
            <w:pPr>
              <w:pStyle w:val="a6"/>
              <w:contextualSpacing/>
              <w:jc w:val="center"/>
              <w:rPr>
                <w:sz w:val="28"/>
                <w:szCs w:val="26"/>
                <w:lang w:val="ru-RU"/>
              </w:rPr>
            </w:pPr>
            <w:r w:rsidRPr="00A44F9A">
              <w:rPr>
                <w:sz w:val="28"/>
                <w:szCs w:val="26"/>
                <w:lang w:val="ru-RU"/>
              </w:rPr>
              <w:t>26,3</w:t>
            </w:r>
            <w:r w:rsidRPr="00A44F9A">
              <w:rPr>
                <w:sz w:val="28"/>
                <w:szCs w:val="26"/>
                <w:lang w:val="ru-RU" w:bidi="ar-SA"/>
              </w:rPr>
              <w:object w:dxaOrig="220" w:dyaOrig="240">
                <v:shape id="_x0000_i1026" type="#_x0000_t75" style="width:10.9pt;height:12.55pt" o:ole="">
                  <v:imagedata r:id="rId7" o:title=""/>
                </v:shape>
                <o:OLEObject Type="Embed" ProgID="Equation.3" ShapeID="_x0000_i1026" DrawAspect="Content" ObjectID="_1572610252" r:id="rId9"/>
              </w:object>
            </w:r>
            <w:r w:rsidRPr="00A44F9A">
              <w:rPr>
                <w:sz w:val="28"/>
                <w:szCs w:val="26"/>
                <w:lang w:val="ru-RU"/>
              </w:rPr>
              <w:t>0,5</w:t>
            </w:r>
          </w:p>
        </w:tc>
      </w:tr>
      <w:tr w:rsidR="00CC2FB5" w:rsidRPr="00A44F9A" w:rsidTr="002501B2">
        <w:tc>
          <w:tcPr>
            <w:tcW w:w="812" w:type="pct"/>
            <w:vAlign w:val="center"/>
          </w:tcPr>
          <w:p w:rsidR="00CC2FB5" w:rsidRPr="00A44F9A" w:rsidRDefault="00CC2FB5" w:rsidP="002501B2">
            <w:pPr>
              <w:pStyle w:val="a6"/>
              <w:contextualSpacing/>
              <w:jc w:val="center"/>
              <w:rPr>
                <w:sz w:val="28"/>
                <w:szCs w:val="26"/>
                <w:lang w:val="ru-RU"/>
              </w:rPr>
            </w:pPr>
            <w:r w:rsidRPr="00A44F9A">
              <w:rPr>
                <w:sz w:val="28"/>
                <w:szCs w:val="26"/>
                <w:lang w:val="ru-RU"/>
              </w:rPr>
              <w:t>2</w:t>
            </w:r>
          </w:p>
        </w:tc>
        <w:tc>
          <w:tcPr>
            <w:tcW w:w="1392" w:type="pct"/>
            <w:vAlign w:val="center"/>
          </w:tcPr>
          <w:p w:rsidR="00CC2FB5" w:rsidRPr="00A44F9A" w:rsidRDefault="00CC2FB5" w:rsidP="002501B2">
            <w:pPr>
              <w:pStyle w:val="a6"/>
              <w:contextualSpacing/>
              <w:jc w:val="center"/>
              <w:rPr>
                <w:sz w:val="28"/>
                <w:szCs w:val="26"/>
                <w:lang w:val="ru-RU"/>
              </w:rPr>
            </w:pPr>
            <w:r w:rsidRPr="00A44F9A">
              <w:rPr>
                <w:sz w:val="28"/>
                <w:szCs w:val="26"/>
                <w:lang w:val="ru-RU"/>
              </w:rPr>
              <w:t>10</w:t>
            </w:r>
          </w:p>
        </w:tc>
        <w:tc>
          <w:tcPr>
            <w:tcW w:w="986" w:type="pct"/>
            <w:tcBorders>
              <w:right w:val="single" w:sz="4" w:space="0" w:color="auto"/>
            </w:tcBorders>
            <w:vAlign w:val="center"/>
          </w:tcPr>
          <w:p w:rsidR="00CC2FB5" w:rsidRPr="00A44F9A" w:rsidRDefault="00CC2FB5" w:rsidP="002501B2">
            <w:pPr>
              <w:pStyle w:val="a6"/>
              <w:contextualSpacing/>
              <w:jc w:val="center"/>
              <w:rPr>
                <w:sz w:val="28"/>
                <w:szCs w:val="26"/>
                <w:lang w:val="ru-RU"/>
              </w:rPr>
            </w:pPr>
            <w:r w:rsidRPr="00A44F9A">
              <w:rPr>
                <w:sz w:val="28"/>
                <w:szCs w:val="26"/>
                <w:lang w:val="ru-RU"/>
              </w:rPr>
              <w:t>10</w:t>
            </w:r>
          </w:p>
        </w:tc>
        <w:tc>
          <w:tcPr>
            <w:tcW w:w="920" w:type="pct"/>
            <w:tcBorders>
              <w:left w:val="single" w:sz="4" w:space="0" w:color="auto"/>
            </w:tcBorders>
            <w:vAlign w:val="center"/>
          </w:tcPr>
          <w:p w:rsidR="00CC2FB5" w:rsidRPr="00A44F9A" w:rsidRDefault="00CC2FB5" w:rsidP="002501B2">
            <w:pPr>
              <w:pStyle w:val="a6"/>
              <w:contextualSpacing/>
              <w:jc w:val="center"/>
              <w:rPr>
                <w:sz w:val="28"/>
                <w:szCs w:val="26"/>
                <w:lang w:val="ru-RU"/>
              </w:rPr>
            </w:pPr>
            <w:r w:rsidRPr="00A44F9A">
              <w:rPr>
                <w:sz w:val="28"/>
                <w:szCs w:val="26"/>
                <w:lang w:val="ru-RU"/>
              </w:rPr>
              <w:t>-</w:t>
            </w:r>
          </w:p>
        </w:tc>
        <w:tc>
          <w:tcPr>
            <w:tcW w:w="890" w:type="pct"/>
            <w:vAlign w:val="center"/>
          </w:tcPr>
          <w:p w:rsidR="00CC2FB5" w:rsidRPr="00A44F9A" w:rsidRDefault="00CC2FB5" w:rsidP="002501B2">
            <w:pPr>
              <w:pStyle w:val="a6"/>
              <w:contextualSpacing/>
              <w:jc w:val="center"/>
              <w:rPr>
                <w:sz w:val="28"/>
                <w:szCs w:val="26"/>
                <w:lang w:val="ru-RU"/>
              </w:rPr>
            </w:pPr>
            <w:r w:rsidRPr="00A44F9A">
              <w:rPr>
                <w:sz w:val="28"/>
                <w:szCs w:val="26"/>
                <w:lang w:val="ru-RU"/>
              </w:rPr>
              <w:t>19,0</w:t>
            </w:r>
            <w:r w:rsidRPr="00A44F9A">
              <w:rPr>
                <w:sz w:val="28"/>
                <w:szCs w:val="26"/>
                <w:lang w:val="ru-RU" w:bidi="ar-SA"/>
              </w:rPr>
              <w:object w:dxaOrig="220" w:dyaOrig="240">
                <v:shape id="_x0000_i1027" type="#_x0000_t75" style="width:10.9pt;height:12.55pt" o:ole="">
                  <v:imagedata r:id="rId7" o:title=""/>
                </v:shape>
                <o:OLEObject Type="Embed" ProgID="Equation.3" ShapeID="_x0000_i1027" DrawAspect="Content" ObjectID="_1572610253" r:id="rId10"/>
              </w:object>
            </w:r>
            <w:r w:rsidRPr="00A44F9A">
              <w:rPr>
                <w:sz w:val="28"/>
                <w:szCs w:val="26"/>
                <w:lang w:val="ru-RU"/>
              </w:rPr>
              <w:t>0,5</w:t>
            </w:r>
          </w:p>
        </w:tc>
      </w:tr>
      <w:tr w:rsidR="00CC2FB5" w:rsidRPr="00A44F9A" w:rsidTr="002501B2">
        <w:tc>
          <w:tcPr>
            <w:tcW w:w="812" w:type="pct"/>
            <w:vAlign w:val="center"/>
          </w:tcPr>
          <w:p w:rsidR="00CC2FB5" w:rsidRPr="00A44F9A" w:rsidRDefault="00CC2FB5" w:rsidP="002501B2">
            <w:pPr>
              <w:pStyle w:val="a6"/>
              <w:contextualSpacing/>
              <w:jc w:val="center"/>
              <w:rPr>
                <w:sz w:val="28"/>
                <w:szCs w:val="26"/>
                <w:lang w:val="ru-RU"/>
              </w:rPr>
            </w:pPr>
            <w:r w:rsidRPr="00A44F9A">
              <w:rPr>
                <w:sz w:val="28"/>
                <w:szCs w:val="26"/>
                <w:lang w:val="ru-RU"/>
              </w:rPr>
              <w:t>2</w:t>
            </w:r>
          </w:p>
        </w:tc>
        <w:tc>
          <w:tcPr>
            <w:tcW w:w="1392" w:type="pct"/>
            <w:vAlign w:val="center"/>
          </w:tcPr>
          <w:p w:rsidR="00CC2FB5" w:rsidRPr="00A44F9A" w:rsidRDefault="00CC2FB5" w:rsidP="002501B2">
            <w:pPr>
              <w:pStyle w:val="a6"/>
              <w:contextualSpacing/>
              <w:jc w:val="center"/>
              <w:rPr>
                <w:sz w:val="28"/>
                <w:szCs w:val="26"/>
                <w:lang w:val="ru-RU"/>
              </w:rPr>
            </w:pPr>
            <w:r w:rsidRPr="00A44F9A">
              <w:rPr>
                <w:sz w:val="28"/>
                <w:szCs w:val="26"/>
                <w:lang w:val="ru-RU"/>
              </w:rPr>
              <w:t>15</w:t>
            </w:r>
          </w:p>
        </w:tc>
        <w:tc>
          <w:tcPr>
            <w:tcW w:w="986" w:type="pct"/>
            <w:tcBorders>
              <w:right w:val="single" w:sz="4" w:space="0" w:color="auto"/>
            </w:tcBorders>
            <w:vAlign w:val="center"/>
          </w:tcPr>
          <w:p w:rsidR="00CC2FB5" w:rsidRPr="00A44F9A" w:rsidRDefault="00CC2FB5" w:rsidP="002501B2">
            <w:pPr>
              <w:pStyle w:val="a6"/>
              <w:contextualSpacing/>
              <w:jc w:val="center"/>
              <w:rPr>
                <w:sz w:val="28"/>
                <w:szCs w:val="26"/>
                <w:lang w:val="ru-RU"/>
              </w:rPr>
            </w:pPr>
            <w:r w:rsidRPr="00A44F9A">
              <w:rPr>
                <w:sz w:val="28"/>
                <w:szCs w:val="26"/>
                <w:lang w:val="ru-RU"/>
              </w:rPr>
              <w:t>15</w:t>
            </w:r>
          </w:p>
        </w:tc>
        <w:tc>
          <w:tcPr>
            <w:tcW w:w="920" w:type="pct"/>
            <w:tcBorders>
              <w:left w:val="single" w:sz="4" w:space="0" w:color="auto"/>
            </w:tcBorders>
            <w:vAlign w:val="center"/>
          </w:tcPr>
          <w:p w:rsidR="00CC2FB5" w:rsidRPr="00A44F9A" w:rsidRDefault="00CC2FB5" w:rsidP="002501B2">
            <w:pPr>
              <w:pStyle w:val="a6"/>
              <w:contextualSpacing/>
              <w:jc w:val="center"/>
              <w:rPr>
                <w:sz w:val="28"/>
                <w:szCs w:val="26"/>
                <w:lang w:val="ru-RU"/>
              </w:rPr>
            </w:pPr>
            <w:r w:rsidRPr="00A44F9A">
              <w:rPr>
                <w:sz w:val="28"/>
                <w:szCs w:val="26"/>
                <w:lang w:val="ru-RU"/>
              </w:rPr>
              <w:t>-</w:t>
            </w:r>
          </w:p>
        </w:tc>
        <w:tc>
          <w:tcPr>
            <w:tcW w:w="890" w:type="pct"/>
            <w:vAlign w:val="center"/>
          </w:tcPr>
          <w:p w:rsidR="00CC2FB5" w:rsidRPr="00A44F9A" w:rsidRDefault="00CC2FB5" w:rsidP="002501B2">
            <w:pPr>
              <w:pStyle w:val="a6"/>
              <w:contextualSpacing/>
              <w:jc w:val="center"/>
              <w:rPr>
                <w:sz w:val="28"/>
                <w:szCs w:val="26"/>
                <w:lang w:val="ru-RU"/>
              </w:rPr>
            </w:pPr>
            <w:r w:rsidRPr="00A44F9A">
              <w:rPr>
                <w:sz w:val="28"/>
                <w:szCs w:val="26"/>
                <w:lang w:val="ru-RU"/>
              </w:rPr>
              <w:t>16,5</w:t>
            </w:r>
            <w:r w:rsidRPr="00A44F9A">
              <w:rPr>
                <w:sz w:val="28"/>
                <w:szCs w:val="26"/>
                <w:lang w:val="ru-RU" w:bidi="ar-SA"/>
              </w:rPr>
              <w:object w:dxaOrig="220" w:dyaOrig="240">
                <v:shape id="_x0000_i1028" type="#_x0000_t75" style="width:10.9pt;height:12.55pt" o:ole="">
                  <v:imagedata r:id="rId7" o:title=""/>
                </v:shape>
                <o:OLEObject Type="Embed" ProgID="Equation.3" ShapeID="_x0000_i1028" DrawAspect="Content" ObjectID="_1572610254" r:id="rId11"/>
              </w:object>
            </w:r>
            <w:r w:rsidRPr="00A44F9A">
              <w:rPr>
                <w:sz w:val="28"/>
                <w:szCs w:val="26"/>
                <w:lang w:val="ru-RU"/>
              </w:rPr>
              <w:t>0,5</w:t>
            </w:r>
          </w:p>
        </w:tc>
      </w:tr>
      <w:tr w:rsidR="00CC2FB5" w:rsidRPr="00A44F9A" w:rsidTr="002501B2">
        <w:tc>
          <w:tcPr>
            <w:tcW w:w="812" w:type="pct"/>
            <w:vAlign w:val="center"/>
          </w:tcPr>
          <w:p w:rsidR="00CC2FB5" w:rsidRPr="00A44F9A" w:rsidRDefault="00CC2FB5" w:rsidP="002501B2">
            <w:pPr>
              <w:pStyle w:val="a6"/>
              <w:contextualSpacing/>
              <w:jc w:val="center"/>
              <w:rPr>
                <w:sz w:val="28"/>
                <w:szCs w:val="26"/>
                <w:lang w:val="ru-RU"/>
              </w:rPr>
            </w:pPr>
            <w:r w:rsidRPr="00A44F9A">
              <w:rPr>
                <w:sz w:val="28"/>
                <w:szCs w:val="26"/>
                <w:lang w:val="ru-RU"/>
              </w:rPr>
              <w:t>2</w:t>
            </w:r>
          </w:p>
        </w:tc>
        <w:tc>
          <w:tcPr>
            <w:tcW w:w="1392" w:type="pct"/>
            <w:vAlign w:val="center"/>
          </w:tcPr>
          <w:p w:rsidR="00CC2FB5" w:rsidRPr="00A44F9A" w:rsidRDefault="00CC2FB5" w:rsidP="002501B2">
            <w:pPr>
              <w:pStyle w:val="a6"/>
              <w:contextualSpacing/>
              <w:jc w:val="center"/>
              <w:rPr>
                <w:sz w:val="28"/>
                <w:szCs w:val="26"/>
                <w:lang w:val="ru-RU"/>
              </w:rPr>
            </w:pPr>
            <w:r w:rsidRPr="00A44F9A">
              <w:rPr>
                <w:sz w:val="28"/>
                <w:szCs w:val="26"/>
                <w:lang w:val="ru-RU"/>
              </w:rPr>
              <w:t>20</w:t>
            </w:r>
          </w:p>
        </w:tc>
        <w:tc>
          <w:tcPr>
            <w:tcW w:w="986" w:type="pct"/>
            <w:tcBorders>
              <w:right w:val="single" w:sz="4" w:space="0" w:color="auto"/>
            </w:tcBorders>
            <w:vAlign w:val="center"/>
          </w:tcPr>
          <w:p w:rsidR="00CC2FB5" w:rsidRPr="00A44F9A" w:rsidRDefault="00CC2FB5" w:rsidP="002501B2">
            <w:pPr>
              <w:pStyle w:val="a6"/>
              <w:contextualSpacing/>
              <w:jc w:val="center"/>
              <w:rPr>
                <w:sz w:val="28"/>
                <w:szCs w:val="26"/>
                <w:lang w:val="ru-RU"/>
              </w:rPr>
            </w:pPr>
            <w:r w:rsidRPr="00A44F9A">
              <w:rPr>
                <w:sz w:val="28"/>
                <w:szCs w:val="26"/>
                <w:lang w:val="ru-RU"/>
              </w:rPr>
              <w:t>20</w:t>
            </w:r>
          </w:p>
        </w:tc>
        <w:tc>
          <w:tcPr>
            <w:tcW w:w="920" w:type="pct"/>
            <w:tcBorders>
              <w:left w:val="single" w:sz="4" w:space="0" w:color="auto"/>
            </w:tcBorders>
            <w:vAlign w:val="center"/>
          </w:tcPr>
          <w:p w:rsidR="00CC2FB5" w:rsidRPr="00A44F9A" w:rsidRDefault="007F6924" w:rsidP="002501B2">
            <w:pPr>
              <w:pStyle w:val="a6"/>
              <w:contextualSpacing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-</w:t>
            </w:r>
          </w:p>
        </w:tc>
        <w:tc>
          <w:tcPr>
            <w:tcW w:w="890" w:type="pct"/>
            <w:vAlign w:val="center"/>
          </w:tcPr>
          <w:p w:rsidR="00CC2FB5" w:rsidRPr="00A44F9A" w:rsidRDefault="00CC2FB5" w:rsidP="002501B2">
            <w:pPr>
              <w:pStyle w:val="a6"/>
              <w:contextualSpacing/>
              <w:jc w:val="center"/>
              <w:rPr>
                <w:sz w:val="28"/>
                <w:szCs w:val="26"/>
                <w:lang w:val="ru-RU"/>
              </w:rPr>
            </w:pPr>
            <w:r w:rsidRPr="00A44F9A">
              <w:rPr>
                <w:sz w:val="28"/>
                <w:szCs w:val="26"/>
                <w:lang w:val="ru-RU"/>
              </w:rPr>
              <w:t>16,3</w:t>
            </w:r>
            <w:r w:rsidRPr="00A44F9A">
              <w:rPr>
                <w:sz w:val="28"/>
                <w:szCs w:val="26"/>
                <w:lang w:val="ru-RU" w:bidi="ar-SA"/>
              </w:rPr>
              <w:object w:dxaOrig="220" w:dyaOrig="240">
                <v:shape id="_x0000_i1029" type="#_x0000_t75" style="width:10.9pt;height:12.55pt" o:ole="">
                  <v:imagedata r:id="rId7" o:title=""/>
                </v:shape>
                <o:OLEObject Type="Embed" ProgID="Equation.3" ShapeID="_x0000_i1029" DrawAspect="Content" ObjectID="_1572610255" r:id="rId12"/>
              </w:object>
            </w:r>
            <w:r w:rsidRPr="00A44F9A">
              <w:rPr>
                <w:sz w:val="28"/>
                <w:szCs w:val="26"/>
                <w:lang w:val="ru-RU"/>
              </w:rPr>
              <w:t>0,5</w:t>
            </w:r>
          </w:p>
        </w:tc>
      </w:tr>
    </w:tbl>
    <w:p w:rsidR="00CC2FB5" w:rsidRDefault="00CC2FB5" w:rsidP="00A44F9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2FB5" w:rsidRDefault="00CC2FB5" w:rsidP="00716915">
      <w:pPr>
        <w:pStyle w:val="a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 данных таблицы 1</w:t>
      </w:r>
      <w:r w:rsidRPr="00A44F9A">
        <w:rPr>
          <w:sz w:val="28"/>
          <w:szCs w:val="28"/>
        </w:rPr>
        <w:t xml:space="preserve"> видно, что наблюдается тенденция повышения показателя подъемная сила при увеличении концентрации комплексной добавки в питательной среде, а далее, начиная с соотношения 2:15:15, с увеличением концентрации комплексной добавки, данный показатель остается на стационарном уровне. Увеличение показателя подъемная сила при </w:t>
      </w:r>
      <w:r w:rsidR="00180520">
        <w:rPr>
          <w:sz w:val="28"/>
          <w:szCs w:val="28"/>
        </w:rPr>
        <w:t>соотношении</w:t>
      </w:r>
      <w:r w:rsidR="00180520" w:rsidRPr="00A44F9A">
        <w:rPr>
          <w:sz w:val="28"/>
          <w:szCs w:val="28"/>
        </w:rPr>
        <w:t xml:space="preserve"> 2:15:15</w:t>
      </w:r>
      <w:r w:rsidRPr="00A44F9A">
        <w:rPr>
          <w:sz w:val="28"/>
          <w:szCs w:val="28"/>
        </w:rPr>
        <w:t xml:space="preserve"> составило 60 % по сравнению с контрольным образцом. </w:t>
      </w:r>
    </w:p>
    <w:p w:rsidR="00716915" w:rsidRPr="00716915" w:rsidRDefault="00716915" w:rsidP="00A44F9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активации дрожжей на бродильную активность также устанавливали по увеличению объема тестовых образцов, которое происходит за счет выделения СО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процессе брожения.</w:t>
      </w:r>
    </w:p>
    <w:p w:rsidR="007B29A8" w:rsidRPr="00A44F9A" w:rsidRDefault="00E5312A" w:rsidP="007B29A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F9A">
        <w:rPr>
          <w:rFonts w:ascii="Times New Roman" w:hAnsi="Times New Roman" w:cs="Times New Roman"/>
          <w:sz w:val="28"/>
          <w:szCs w:val="28"/>
        </w:rPr>
        <w:t xml:space="preserve">В качестве емкостей для измерения объема теста были использованы стеклянные мерные цилиндры объемом 100 мл. Перед замесом теста была осуществлена предварительная активация дрожжей с использованием комплексной добавки, после этого был произведен замес образцов теста. Тесто замешивали по рецептуре, для пшеничного хлеба по ГОСТ 27842-88. </w:t>
      </w:r>
      <w:r w:rsidR="00716915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716915" w:rsidRPr="00716915">
        <w:rPr>
          <w:rFonts w:ascii="Times New Roman" w:hAnsi="Times New Roman" w:cs="Times New Roman"/>
          <w:sz w:val="28"/>
          <w:szCs w:val="28"/>
        </w:rPr>
        <w:t>спользуемые соотношения комплексной добавки при активации дрожжей дале</w:t>
      </w:r>
      <w:r w:rsidR="007B29A8">
        <w:rPr>
          <w:rFonts w:ascii="Times New Roman" w:hAnsi="Times New Roman" w:cs="Times New Roman"/>
          <w:sz w:val="28"/>
          <w:szCs w:val="28"/>
        </w:rPr>
        <w:t xml:space="preserve">е представлены </w:t>
      </w:r>
      <w:proofErr w:type="gramStart"/>
      <w:r w:rsidR="007B29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B29A8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="007B29A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B29A8">
        <w:rPr>
          <w:rFonts w:ascii="Times New Roman" w:hAnsi="Times New Roman" w:cs="Times New Roman"/>
          <w:sz w:val="28"/>
          <w:szCs w:val="28"/>
        </w:rPr>
        <w:t xml:space="preserve"> массе муки. </w:t>
      </w:r>
      <w:r w:rsidR="007B29A8" w:rsidRPr="00A44F9A">
        <w:rPr>
          <w:rFonts w:ascii="Times New Roman" w:hAnsi="Times New Roman" w:cs="Times New Roman"/>
          <w:sz w:val="28"/>
          <w:szCs w:val="28"/>
        </w:rPr>
        <w:t xml:space="preserve">Мерные цилиндры с тестовыми </w:t>
      </w:r>
      <w:r w:rsidR="007B29A8">
        <w:rPr>
          <w:rFonts w:ascii="Times New Roman" w:hAnsi="Times New Roman" w:cs="Times New Roman"/>
          <w:sz w:val="28"/>
          <w:szCs w:val="28"/>
        </w:rPr>
        <w:t>образцами</w:t>
      </w:r>
      <w:r w:rsidR="007B29A8" w:rsidRPr="00A44F9A">
        <w:rPr>
          <w:rFonts w:ascii="Times New Roman" w:hAnsi="Times New Roman" w:cs="Times New Roman"/>
          <w:sz w:val="28"/>
          <w:szCs w:val="28"/>
        </w:rPr>
        <w:t xml:space="preserve"> массой 30 г </w:t>
      </w:r>
      <w:proofErr w:type="gramStart"/>
      <w:r w:rsidR="007B29A8" w:rsidRPr="00A44F9A">
        <w:rPr>
          <w:rFonts w:ascii="Times New Roman" w:hAnsi="Times New Roman" w:cs="Times New Roman"/>
          <w:sz w:val="28"/>
          <w:szCs w:val="28"/>
        </w:rPr>
        <w:t>помещали в термостат при температуре 32 ºС.</w:t>
      </w:r>
      <w:r w:rsidR="007B29A8">
        <w:rPr>
          <w:rFonts w:ascii="Times New Roman" w:hAnsi="Times New Roman" w:cs="Times New Roman"/>
          <w:sz w:val="28"/>
          <w:szCs w:val="28"/>
        </w:rPr>
        <w:t xml:space="preserve"> В таблице 2</w:t>
      </w:r>
      <w:r w:rsidR="007B29A8" w:rsidRPr="00A44F9A">
        <w:rPr>
          <w:rFonts w:ascii="Times New Roman" w:hAnsi="Times New Roman" w:cs="Times New Roman"/>
          <w:sz w:val="28"/>
          <w:szCs w:val="28"/>
        </w:rPr>
        <w:t xml:space="preserve"> приведены</w:t>
      </w:r>
      <w:proofErr w:type="gramEnd"/>
      <w:r w:rsidR="007B29A8" w:rsidRPr="00A44F9A">
        <w:rPr>
          <w:rFonts w:ascii="Times New Roman" w:hAnsi="Times New Roman" w:cs="Times New Roman"/>
          <w:sz w:val="28"/>
          <w:szCs w:val="28"/>
        </w:rPr>
        <w:t xml:space="preserve"> данные по приросту объема тестовых </w:t>
      </w:r>
      <w:r w:rsidR="007B29A8">
        <w:rPr>
          <w:rFonts w:ascii="Times New Roman" w:hAnsi="Times New Roman" w:cs="Times New Roman"/>
          <w:sz w:val="28"/>
          <w:szCs w:val="28"/>
        </w:rPr>
        <w:t>образцов</w:t>
      </w:r>
      <w:r w:rsidR="007B29A8" w:rsidRPr="00A44F9A">
        <w:rPr>
          <w:rFonts w:ascii="Times New Roman" w:hAnsi="Times New Roman" w:cs="Times New Roman"/>
          <w:sz w:val="28"/>
          <w:szCs w:val="28"/>
        </w:rPr>
        <w:t xml:space="preserve"> после 150 минут брожения к начальному их объему.</w:t>
      </w:r>
    </w:p>
    <w:p w:rsidR="007B29A8" w:rsidRPr="00A44F9A" w:rsidRDefault="007B29A8" w:rsidP="007B29A8">
      <w:pPr>
        <w:pStyle w:val="a6"/>
        <w:contextualSpacing/>
        <w:jc w:val="both"/>
        <w:rPr>
          <w:sz w:val="28"/>
          <w:szCs w:val="28"/>
        </w:rPr>
      </w:pPr>
    </w:p>
    <w:p w:rsidR="007B29A8" w:rsidRPr="00A44F9A" w:rsidRDefault="007B29A8" w:rsidP="007B29A8">
      <w:pPr>
        <w:pStyle w:val="a6"/>
        <w:contextualSpacing/>
        <w:jc w:val="both"/>
        <w:rPr>
          <w:sz w:val="28"/>
          <w:szCs w:val="26"/>
        </w:rPr>
      </w:pPr>
      <w:r>
        <w:rPr>
          <w:sz w:val="28"/>
          <w:szCs w:val="26"/>
        </w:rPr>
        <w:t>Таблица 2</w:t>
      </w:r>
      <w:r w:rsidRPr="00A44F9A">
        <w:rPr>
          <w:sz w:val="28"/>
          <w:szCs w:val="26"/>
        </w:rPr>
        <w:t xml:space="preserve"> – Прирост объема тестовых </w:t>
      </w:r>
      <w:r>
        <w:rPr>
          <w:sz w:val="28"/>
          <w:szCs w:val="26"/>
        </w:rPr>
        <w:t>образцов</w:t>
      </w:r>
      <w:r w:rsidRPr="00A44F9A">
        <w:rPr>
          <w:sz w:val="28"/>
          <w:szCs w:val="26"/>
        </w:rPr>
        <w:t xml:space="preserve"> </w:t>
      </w:r>
    </w:p>
    <w:tbl>
      <w:tblPr>
        <w:tblStyle w:val="ab"/>
        <w:tblW w:w="5000" w:type="pct"/>
        <w:tblLook w:val="04A0"/>
      </w:tblPr>
      <w:tblGrid>
        <w:gridCol w:w="1669"/>
        <w:gridCol w:w="1441"/>
        <w:gridCol w:w="1545"/>
        <w:gridCol w:w="1545"/>
        <w:gridCol w:w="1545"/>
        <w:gridCol w:w="1541"/>
      </w:tblGrid>
      <w:tr w:rsidR="007B29A8" w:rsidRPr="00A44F9A" w:rsidTr="0004392B">
        <w:tc>
          <w:tcPr>
            <w:tcW w:w="898" w:type="pct"/>
            <w:vMerge w:val="restart"/>
            <w:vAlign w:val="center"/>
          </w:tcPr>
          <w:p w:rsidR="007B29A8" w:rsidRPr="00A44F9A" w:rsidRDefault="007B29A8" w:rsidP="002501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  <w:lang w:val="ru-RU"/>
              </w:rPr>
            </w:pPr>
            <w:r w:rsidRPr="00A44F9A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Показатель</w:t>
            </w:r>
          </w:p>
        </w:tc>
        <w:tc>
          <w:tcPr>
            <w:tcW w:w="776" w:type="pct"/>
            <w:vMerge w:val="restart"/>
            <w:vAlign w:val="center"/>
          </w:tcPr>
          <w:p w:rsidR="007B29A8" w:rsidRPr="00A44F9A" w:rsidRDefault="007B29A8" w:rsidP="002501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  <w:lang w:val="ru-RU"/>
              </w:rPr>
            </w:pPr>
            <w:r w:rsidRPr="00A44F9A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Контроль</w:t>
            </w:r>
          </w:p>
        </w:tc>
        <w:tc>
          <w:tcPr>
            <w:tcW w:w="3325" w:type="pct"/>
            <w:gridSpan w:val="4"/>
            <w:vAlign w:val="center"/>
          </w:tcPr>
          <w:p w:rsidR="007B29A8" w:rsidRPr="00A44F9A" w:rsidRDefault="007B29A8" w:rsidP="002501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  <w:lang w:val="ru-RU"/>
              </w:rPr>
            </w:pPr>
            <w:r w:rsidRPr="00A44F9A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Концентрация комплексной добавки к массе муки, %</w:t>
            </w:r>
          </w:p>
        </w:tc>
      </w:tr>
      <w:tr w:rsidR="007B29A8" w:rsidRPr="00A44F9A" w:rsidTr="0004392B">
        <w:tc>
          <w:tcPr>
            <w:tcW w:w="898" w:type="pct"/>
            <w:vMerge/>
            <w:vAlign w:val="center"/>
          </w:tcPr>
          <w:p w:rsidR="007B29A8" w:rsidRPr="00A44F9A" w:rsidRDefault="007B29A8" w:rsidP="002501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  <w:lang w:val="ru-RU"/>
              </w:rPr>
            </w:pPr>
          </w:p>
        </w:tc>
        <w:tc>
          <w:tcPr>
            <w:tcW w:w="776" w:type="pct"/>
            <w:vMerge/>
            <w:vAlign w:val="center"/>
          </w:tcPr>
          <w:p w:rsidR="007B29A8" w:rsidRPr="00A44F9A" w:rsidRDefault="007B29A8" w:rsidP="002501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  <w:lang w:val="ru-RU"/>
              </w:rPr>
            </w:pPr>
          </w:p>
        </w:tc>
        <w:tc>
          <w:tcPr>
            <w:tcW w:w="832" w:type="pct"/>
            <w:vAlign w:val="center"/>
          </w:tcPr>
          <w:p w:rsidR="007B29A8" w:rsidRPr="00A44F9A" w:rsidRDefault="007B29A8" w:rsidP="002501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  <w:lang w:val="ru-RU"/>
              </w:rPr>
            </w:pPr>
            <w:r w:rsidRPr="00A44F9A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5</w:t>
            </w:r>
          </w:p>
        </w:tc>
        <w:tc>
          <w:tcPr>
            <w:tcW w:w="832" w:type="pct"/>
            <w:vAlign w:val="center"/>
          </w:tcPr>
          <w:p w:rsidR="007B29A8" w:rsidRPr="00A44F9A" w:rsidRDefault="007B29A8" w:rsidP="002501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  <w:lang w:val="ru-RU"/>
              </w:rPr>
            </w:pPr>
            <w:r w:rsidRPr="00A44F9A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10</w:t>
            </w:r>
          </w:p>
        </w:tc>
        <w:tc>
          <w:tcPr>
            <w:tcW w:w="832" w:type="pct"/>
            <w:vAlign w:val="center"/>
          </w:tcPr>
          <w:p w:rsidR="007B29A8" w:rsidRPr="00A44F9A" w:rsidRDefault="007B29A8" w:rsidP="002501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  <w:lang w:val="ru-RU"/>
              </w:rPr>
            </w:pPr>
            <w:r w:rsidRPr="00A44F9A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15</w:t>
            </w:r>
          </w:p>
        </w:tc>
        <w:tc>
          <w:tcPr>
            <w:tcW w:w="830" w:type="pct"/>
            <w:vAlign w:val="center"/>
          </w:tcPr>
          <w:p w:rsidR="007B29A8" w:rsidRPr="00A44F9A" w:rsidRDefault="007B29A8" w:rsidP="002501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  <w:lang w:val="ru-RU"/>
              </w:rPr>
            </w:pPr>
            <w:r w:rsidRPr="00A44F9A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20</w:t>
            </w:r>
          </w:p>
        </w:tc>
      </w:tr>
      <w:tr w:rsidR="007B29A8" w:rsidRPr="00A44F9A" w:rsidTr="0004392B">
        <w:tc>
          <w:tcPr>
            <w:tcW w:w="898" w:type="pct"/>
            <w:vAlign w:val="center"/>
          </w:tcPr>
          <w:p w:rsidR="007B29A8" w:rsidRPr="00A44F9A" w:rsidRDefault="007B29A8" w:rsidP="002501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  <w:lang w:val="ru-RU"/>
              </w:rPr>
            </w:pPr>
            <w:r w:rsidRPr="00A44F9A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Прирост, %</w:t>
            </w:r>
          </w:p>
        </w:tc>
        <w:tc>
          <w:tcPr>
            <w:tcW w:w="776" w:type="pct"/>
            <w:vAlign w:val="center"/>
          </w:tcPr>
          <w:p w:rsidR="007B29A8" w:rsidRPr="00A44F9A" w:rsidRDefault="007B29A8" w:rsidP="002501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  <w:lang w:val="ru-RU"/>
              </w:rPr>
            </w:pPr>
            <w:r w:rsidRPr="00A44F9A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 xml:space="preserve">210 </w:t>
            </w:r>
          </w:p>
        </w:tc>
        <w:tc>
          <w:tcPr>
            <w:tcW w:w="832" w:type="pct"/>
            <w:vAlign w:val="center"/>
          </w:tcPr>
          <w:p w:rsidR="007B29A8" w:rsidRPr="00A44F9A" w:rsidRDefault="007B29A8" w:rsidP="002501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  <w:lang w:val="ru-RU"/>
              </w:rPr>
            </w:pPr>
            <w:r w:rsidRPr="00A44F9A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219</w:t>
            </w:r>
          </w:p>
        </w:tc>
        <w:tc>
          <w:tcPr>
            <w:tcW w:w="832" w:type="pct"/>
            <w:vAlign w:val="center"/>
          </w:tcPr>
          <w:p w:rsidR="007B29A8" w:rsidRPr="00A44F9A" w:rsidRDefault="007B29A8" w:rsidP="002501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  <w:lang w:val="ru-RU"/>
              </w:rPr>
            </w:pPr>
            <w:r w:rsidRPr="00A44F9A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234</w:t>
            </w:r>
          </w:p>
        </w:tc>
        <w:tc>
          <w:tcPr>
            <w:tcW w:w="832" w:type="pct"/>
            <w:vAlign w:val="center"/>
          </w:tcPr>
          <w:p w:rsidR="007B29A8" w:rsidRPr="00A44F9A" w:rsidRDefault="007B29A8" w:rsidP="002501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  <w:lang w:val="ru-RU"/>
              </w:rPr>
            </w:pPr>
            <w:r w:rsidRPr="00A44F9A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228</w:t>
            </w:r>
          </w:p>
        </w:tc>
        <w:tc>
          <w:tcPr>
            <w:tcW w:w="830" w:type="pct"/>
            <w:vAlign w:val="center"/>
          </w:tcPr>
          <w:p w:rsidR="007B29A8" w:rsidRPr="00A44F9A" w:rsidRDefault="007B29A8" w:rsidP="002501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  <w:lang w:val="ru-RU"/>
              </w:rPr>
            </w:pPr>
            <w:r w:rsidRPr="00A44F9A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227</w:t>
            </w:r>
          </w:p>
        </w:tc>
      </w:tr>
    </w:tbl>
    <w:p w:rsidR="007B29A8" w:rsidRDefault="007B29A8" w:rsidP="00A44F9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29A8" w:rsidRPr="00A44F9A" w:rsidRDefault="007B29A8" w:rsidP="007B29A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таблицы 2</w:t>
      </w:r>
      <w:r w:rsidRPr="00A44F9A">
        <w:rPr>
          <w:rFonts w:ascii="Times New Roman" w:hAnsi="Times New Roman" w:cs="Times New Roman"/>
          <w:sz w:val="28"/>
          <w:szCs w:val="28"/>
        </w:rPr>
        <w:t xml:space="preserve"> следует, что с увеличением концентрации комплексной добавки до 10 % к массе муки происходит увеличение прироста объема тестовых </w:t>
      </w:r>
      <w:r>
        <w:rPr>
          <w:rFonts w:ascii="Times New Roman" w:hAnsi="Times New Roman" w:cs="Times New Roman"/>
          <w:sz w:val="28"/>
          <w:szCs w:val="28"/>
        </w:rPr>
        <w:t>образцов</w:t>
      </w:r>
      <w:r w:rsidR="0004392B">
        <w:rPr>
          <w:rFonts w:ascii="Times New Roman" w:hAnsi="Times New Roman" w:cs="Times New Roman"/>
          <w:sz w:val="28"/>
          <w:szCs w:val="28"/>
        </w:rPr>
        <w:t>. Это свидетельствует об ускорении выделения СО</w:t>
      </w:r>
      <w:proofErr w:type="gramStart"/>
      <w:r w:rsidR="0004392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04392B">
        <w:rPr>
          <w:rFonts w:ascii="Times New Roman" w:hAnsi="Times New Roman" w:cs="Times New Roman"/>
          <w:sz w:val="28"/>
          <w:szCs w:val="28"/>
        </w:rPr>
        <w:t>.</w:t>
      </w:r>
      <w:r w:rsidRPr="00A44F9A">
        <w:rPr>
          <w:rFonts w:ascii="Times New Roman" w:hAnsi="Times New Roman" w:cs="Times New Roman"/>
          <w:sz w:val="28"/>
          <w:szCs w:val="28"/>
        </w:rPr>
        <w:t xml:space="preserve"> </w:t>
      </w:r>
      <w:r w:rsidR="0004392B">
        <w:rPr>
          <w:rFonts w:ascii="Times New Roman" w:hAnsi="Times New Roman" w:cs="Times New Roman"/>
          <w:sz w:val="28"/>
          <w:szCs w:val="28"/>
        </w:rPr>
        <w:t xml:space="preserve">С </w:t>
      </w:r>
      <w:r w:rsidRPr="00A44F9A">
        <w:rPr>
          <w:rFonts w:ascii="Times New Roman" w:hAnsi="Times New Roman" w:cs="Times New Roman"/>
          <w:sz w:val="28"/>
          <w:szCs w:val="28"/>
        </w:rPr>
        <w:t>увеличением концентрации от 10 % до 20 % наблюдается снижение прироста объема теста (не смотря на рост бродильной активности прессованных дрожжей).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F9A">
        <w:rPr>
          <w:rFonts w:ascii="Times New Roman" w:hAnsi="Times New Roman" w:cs="Times New Roman"/>
          <w:sz w:val="28"/>
          <w:szCs w:val="28"/>
        </w:rPr>
        <w:t>В связи с заменой части пшеничной муки первого сорта в рецептуре хлеба пшеничного на комплексную добавку происходит снижение общего содержания клейковины в опытных образцах. Как известно, в состав пшеничной муки входят клейковинные белки, которые характеризуют упругие свойства теста, его растяжимость и способность удерживать, выделяющий углекислый газ 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44F9A">
        <w:rPr>
          <w:rFonts w:ascii="Times New Roman" w:hAnsi="Times New Roman" w:cs="Times New Roman"/>
          <w:sz w:val="28"/>
          <w:szCs w:val="28"/>
        </w:rPr>
        <w:t>].</w:t>
      </w:r>
    </w:p>
    <w:p w:rsidR="0004392B" w:rsidRDefault="0004392B" w:rsidP="00A44F9A">
      <w:pPr>
        <w:pStyle w:val="21"/>
        <w:spacing w:line="240" w:lineRule="auto"/>
        <w:ind w:left="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Таким образом, у</w:t>
      </w:r>
      <w:r w:rsidR="00E5312A" w:rsidRPr="00A44F9A">
        <w:rPr>
          <w:rFonts w:eastAsia="Times New Roman"/>
          <w:sz w:val="28"/>
          <w:szCs w:val="28"/>
        </w:rPr>
        <w:t>становлено,</w:t>
      </w:r>
      <w:r>
        <w:rPr>
          <w:rFonts w:eastAsia="Times New Roman"/>
          <w:sz w:val="28"/>
          <w:szCs w:val="28"/>
        </w:rPr>
        <w:t xml:space="preserve"> что</w:t>
      </w:r>
      <w:r w:rsidR="00E5312A" w:rsidRPr="00A44F9A">
        <w:rPr>
          <w:rFonts w:eastAsia="Times New Roman"/>
          <w:sz w:val="28"/>
          <w:szCs w:val="28"/>
        </w:rPr>
        <w:t xml:space="preserve"> предварительная активация прессованных хлебопекарных дрожжей в питательной среде, содержащей комплексную добавку, позволила увеличить подъемную силу дрожжей при соотношении компонентов питательной среды 2:10:10 на 54 %, при соотношении 2:15:15 на 60 %.</w:t>
      </w:r>
    </w:p>
    <w:p w:rsidR="0004392B" w:rsidRPr="00A44F9A" w:rsidRDefault="0004392B" w:rsidP="00A44F9A">
      <w:pPr>
        <w:pStyle w:val="21"/>
        <w:spacing w:line="240" w:lineRule="auto"/>
        <w:ind w:left="0"/>
        <w:contextualSpacing/>
        <w:jc w:val="both"/>
        <w:rPr>
          <w:rFonts w:eastAsia="Times New Roman"/>
          <w:sz w:val="28"/>
          <w:szCs w:val="28"/>
        </w:rPr>
      </w:pPr>
    </w:p>
    <w:p w:rsidR="00E5312A" w:rsidRDefault="0004392B" w:rsidP="00A44F9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2D3BA0" w:rsidRPr="0004392B" w:rsidRDefault="002D3BA0" w:rsidP="00A44F9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12A" w:rsidRPr="00A44F9A" w:rsidRDefault="00E5312A" w:rsidP="0004392B">
      <w:pPr>
        <w:pStyle w:val="aa"/>
        <w:numPr>
          <w:ilvl w:val="0"/>
          <w:numId w:val="1"/>
        </w:numPr>
        <w:tabs>
          <w:tab w:val="num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4F9A">
        <w:rPr>
          <w:rFonts w:ascii="Times New Roman" w:hAnsi="Times New Roman" w:cs="Times New Roman"/>
          <w:sz w:val="28"/>
          <w:szCs w:val="28"/>
          <w:lang w:val="en-US"/>
        </w:rPr>
        <w:t xml:space="preserve"> François J. Reserve carbohydrates metabolism in the yeast </w:t>
      </w:r>
      <w:proofErr w:type="spellStart"/>
      <w:r w:rsidRPr="00A44F9A">
        <w:rPr>
          <w:rFonts w:ascii="Times New Roman" w:hAnsi="Times New Roman" w:cs="Times New Roman"/>
          <w:sz w:val="28"/>
          <w:szCs w:val="28"/>
          <w:lang w:val="en-US"/>
        </w:rPr>
        <w:t>Saccharomyces</w:t>
      </w:r>
      <w:proofErr w:type="spellEnd"/>
      <w:r w:rsidRPr="00A44F9A">
        <w:rPr>
          <w:rFonts w:ascii="Times New Roman" w:hAnsi="Times New Roman" w:cs="Times New Roman"/>
          <w:sz w:val="28"/>
          <w:szCs w:val="28"/>
          <w:lang w:val="en-US"/>
        </w:rPr>
        <w:t xml:space="preserve"> cerevisiae / J. François, J. Luc </w:t>
      </w:r>
      <w:proofErr w:type="spellStart"/>
      <w:r w:rsidRPr="00A44F9A">
        <w:rPr>
          <w:rFonts w:ascii="Times New Roman" w:hAnsi="Times New Roman" w:cs="Times New Roman"/>
          <w:sz w:val="28"/>
          <w:szCs w:val="28"/>
          <w:lang w:val="en-US"/>
        </w:rPr>
        <w:t>Parrou</w:t>
      </w:r>
      <w:proofErr w:type="spellEnd"/>
      <w:r w:rsidRPr="00A44F9A">
        <w:rPr>
          <w:rFonts w:ascii="Times New Roman" w:hAnsi="Times New Roman" w:cs="Times New Roman"/>
          <w:sz w:val="28"/>
          <w:szCs w:val="28"/>
          <w:lang w:val="en-US"/>
        </w:rPr>
        <w:t xml:space="preserve"> // FEMS Microbiology Reviews. </w:t>
      </w:r>
      <w:proofErr w:type="gramStart"/>
      <w:r w:rsidRPr="00A44F9A">
        <w:rPr>
          <w:rFonts w:ascii="Times New Roman" w:hAnsi="Times New Roman" w:cs="Times New Roman"/>
          <w:sz w:val="28"/>
          <w:szCs w:val="28"/>
          <w:lang w:val="en-US"/>
        </w:rPr>
        <w:t>–  V</w:t>
      </w:r>
      <w:proofErr w:type="gramEnd"/>
      <w:r w:rsidRPr="00A44F9A">
        <w:rPr>
          <w:rFonts w:ascii="Times New Roman" w:hAnsi="Times New Roman" w:cs="Times New Roman"/>
          <w:sz w:val="28"/>
          <w:szCs w:val="28"/>
          <w:lang w:val="en-US"/>
        </w:rPr>
        <w:t>. 25, Issue 1. – 2001. – P. 125–145.</w:t>
      </w:r>
    </w:p>
    <w:p w:rsidR="00E5312A" w:rsidRPr="00A44F9A" w:rsidRDefault="00E5312A" w:rsidP="0004392B">
      <w:pPr>
        <w:pStyle w:val="aa"/>
        <w:numPr>
          <w:ilvl w:val="0"/>
          <w:numId w:val="1"/>
        </w:numPr>
        <w:tabs>
          <w:tab w:val="num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F9A">
        <w:rPr>
          <w:rFonts w:ascii="Times New Roman" w:hAnsi="Times New Roman" w:cs="Times New Roman"/>
          <w:sz w:val="28"/>
          <w:szCs w:val="28"/>
        </w:rPr>
        <w:t xml:space="preserve">Пащенко Л.П. Интенсификация жизнедеятельности дрожжевых клеток в тесте, содержащем белковые обогатители / Л.П. Пащенко, Ю.Н. </w:t>
      </w:r>
      <w:proofErr w:type="spellStart"/>
      <w:r w:rsidRPr="00A44F9A">
        <w:rPr>
          <w:rFonts w:ascii="Times New Roman" w:hAnsi="Times New Roman" w:cs="Times New Roman"/>
          <w:sz w:val="28"/>
          <w:szCs w:val="28"/>
        </w:rPr>
        <w:t>Рябикина</w:t>
      </w:r>
      <w:proofErr w:type="spellEnd"/>
      <w:r w:rsidRPr="00A44F9A">
        <w:rPr>
          <w:rFonts w:ascii="Times New Roman" w:hAnsi="Times New Roman" w:cs="Times New Roman"/>
          <w:sz w:val="28"/>
          <w:szCs w:val="28"/>
        </w:rPr>
        <w:t xml:space="preserve"> // Материалы Четвертого Московского международного конгресса. - М.: </w:t>
      </w:r>
      <w:proofErr w:type="spellStart"/>
      <w:r w:rsidRPr="00A44F9A">
        <w:rPr>
          <w:rFonts w:ascii="Times New Roman" w:hAnsi="Times New Roman" w:cs="Times New Roman"/>
          <w:sz w:val="28"/>
          <w:szCs w:val="28"/>
        </w:rPr>
        <w:t>Экспо-биохим-технологии</w:t>
      </w:r>
      <w:proofErr w:type="spellEnd"/>
      <w:r w:rsidRPr="00A44F9A">
        <w:rPr>
          <w:rFonts w:ascii="Times New Roman" w:hAnsi="Times New Roman" w:cs="Times New Roman"/>
          <w:sz w:val="28"/>
          <w:szCs w:val="28"/>
        </w:rPr>
        <w:t>, РХТУ им. Д.И. Менделеева. – 2007 – Ч. 2 – С. 209.</w:t>
      </w:r>
    </w:p>
    <w:p w:rsidR="002D3BA0" w:rsidRPr="002D3BA0" w:rsidRDefault="00E5312A" w:rsidP="002D3BA0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44F9A">
        <w:rPr>
          <w:rFonts w:ascii="Times New Roman" w:hAnsi="Times New Roman" w:cs="Times New Roman"/>
          <w:sz w:val="28"/>
          <w:szCs w:val="28"/>
          <w:lang w:val="en-US"/>
        </w:rPr>
        <w:t>Gómez</w:t>
      </w:r>
      <w:proofErr w:type="spellEnd"/>
      <w:r w:rsidRPr="00A44F9A">
        <w:rPr>
          <w:rFonts w:ascii="Times New Roman" w:hAnsi="Times New Roman" w:cs="Times New Roman"/>
          <w:sz w:val="28"/>
          <w:szCs w:val="28"/>
          <w:lang w:val="en-US"/>
        </w:rPr>
        <w:t xml:space="preserve"> M. Effect of dietary </w:t>
      </w:r>
      <w:proofErr w:type="spellStart"/>
      <w:r w:rsidRPr="00A44F9A">
        <w:rPr>
          <w:rFonts w:ascii="Times New Roman" w:hAnsi="Times New Roman" w:cs="Times New Roman"/>
          <w:sz w:val="28"/>
          <w:szCs w:val="28"/>
          <w:lang w:val="en-US"/>
        </w:rPr>
        <w:t>fibre</w:t>
      </w:r>
      <w:proofErr w:type="spellEnd"/>
      <w:r w:rsidRPr="00A44F9A">
        <w:rPr>
          <w:rFonts w:ascii="Times New Roman" w:hAnsi="Times New Roman" w:cs="Times New Roman"/>
          <w:sz w:val="28"/>
          <w:szCs w:val="28"/>
          <w:lang w:val="en-US"/>
        </w:rPr>
        <w:t xml:space="preserve"> on dough </w:t>
      </w:r>
      <w:proofErr w:type="spellStart"/>
      <w:r w:rsidRPr="00A44F9A">
        <w:rPr>
          <w:rFonts w:ascii="Times New Roman" w:hAnsi="Times New Roman" w:cs="Times New Roman"/>
          <w:sz w:val="28"/>
          <w:szCs w:val="28"/>
          <w:lang w:val="en-US"/>
        </w:rPr>
        <w:t>rheology</w:t>
      </w:r>
      <w:proofErr w:type="spellEnd"/>
      <w:r w:rsidRPr="00A44F9A">
        <w:rPr>
          <w:rFonts w:ascii="Times New Roman" w:hAnsi="Times New Roman" w:cs="Times New Roman"/>
          <w:sz w:val="28"/>
          <w:szCs w:val="28"/>
          <w:lang w:val="en-US"/>
        </w:rPr>
        <w:t xml:space="preserve"> and bread quality /  M. </w:t>
      </w:r>
      <w:proofErr w:type="spellStart"/>
      <w:r w:rsidRPr="00A44F9A">
        <w:rPr>
          <w:rFonts w:ascii="Times New Roman" w:hAnsi="Times New Roman" w:cs="Times New Roman"/>
          <w:sz w:val="28"/>
          <w:szCs w:val="28"/>
          <w:lang w:val="en-US"/>
        </w:rPr>
        <w:t>Gómez</w:t>
      </w:r>
      <w:proofErr w:type="spellEnd"/>
      <w:r w:rsidRPr="00A44F9A">
        <w:rPr>
          <w:rFonts w:ascii="Times New Roman" w:hAnsi="Times New Roman" w:cs="Times New Roman"/>
          <w:sz w:val="28"/>
          <w:szCs w:val="28"/>
          <w:lang w:val="en-US"/>
        </w:rPr>
        <w:t xml:space="preserve">, F. Ronda, C. A. Blanco, P. A. Caballero, A. </w:t>
      </w:r>
      <w:proofErr w:type="spellStart"/>
      <w:r w:rsidRPr="00A44F9A">
        <w:rPr>
          <w:rFonts w:ascii="Times New Roman" w:hAnsi="Times New Roman" w:cs="Times New Roman"/>
          <w:sz w:val="28"/>
          <w:szCs w:val="28"/>
          <w:lang w:val="en-US"/>
        </w:rPr>
        <w:t>Apesteguía</w:t>
      </w:r>
      <w:proofErr w:type="spellEnd"/>
      <w:r w:rsidRPr="00A44F9A">
        <w:rPr>
          <w:rFonts w:ascii="Times New Roman" w:hAnsi="Times New Roman" w:cs="Times New Roman"/>
          <w:sz w:val="28"/>
          <w:szCs w:val="28"/>
          <w:lang w:val="en-US"/>
        </w:rPr>
        <w:t xml:space="preserve"> // European Food Research and Technology. – 2003. – V. 216, Issue 1. – P. 51–56.</w:t>
      </w:r>
    </w:p>
    <w:sectPr w:rsidR="002D3BA0" w:rsidRPr="002D3BA0" w:rsidSect="00A44F9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0C1" w:rsidRDefault="002B20C1" w:rsidP="00D607AD">
      <w:r>
        <w:separator/>
      </w:r>
    </w:p>
  </w:endnote>
  <w:endnote w:type="continuationSeparator" w:id="0">
    <w:p w:rsidR="002B20C1" w:rsidRDefault="002B20C1" w:rsidP="00D60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0C1" w:rsidRDefault="002B20C1" w:rsidP="00D607AD">
      <w:r>
        <w:separator/>
      </w:r>
    </w:p>
  </w:footnote>
  <w:footnote w:type="continuationSeparator" w:id="0">
    <w:p w:rsidR="002B20C1" w:rsidRDefault="002B20C1" w:rsidP="00D607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F4EAD"/>
    <w:multiLevelType w:val="hybridMultilevel"/>
    <w:tmpl w:val="87B844C4"/>
    <w:lvl w:ilvl="0" w:tplc="C344C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12A"/>
    <w:rsid w:val="0004392B"/>
    <w:rsid w:val="00061095"/>
    <w:rsid w:val="000E2390"/>
    <w:rsid w:val="00180520"/>
    <w:rsid w:val="00250365"/>
    <w:rsid w:val="00285CC9"/>
    <w:rsid w:val="002B20C1"/>
    <w:rsid w:val="002D3BA0"/>
    <w:rsid w:val="00341629"/>
    <w:rsid w:val="00377E1D"/>
    <w:rsid w:val="00477217"/>
    <w:rsid w:val="00572783"/>
    <w:rsid w:val="00601610"/>
    <w:rsid w:val="006402F2"/>
    <w:rsid w:val="006441B4"/>
    <w:rsid w:val="006A13F1"/>
    <w:rsid w:val="006F6B4B"/>
    <w:rsid w:val="00716915"/>
    <w:rsid w:val="007B29A8"/>
    <w:rsid w:val="007F3CAE"/>
    <w:rsid w:val="007F6924"/>
    <w:rsid w:val="008D5193"/>
    <w:rsid w:val="00934784"/>
    <w:rsid w:val="009B743C"/>
    <w:rsid w:val="009C1041"/>
    <w:rsid w:val="009F11CE"/>
    <w:rsid w:val="00A44F9A"/>
    <w:rsid w:val="00A73B71"/>
    <w:rsid w:val="00BC2967"/>
    <w:rsid w:val="00C07ADA"/>
    <w:rsid w:val="00C667BA"/>
    <w:rsid w:val="00C9513D"/>
    <w:rsid w:val="00CC2FB5"/>
    <w:rsid w:val="00D607AD"/>
    <w:rsid w:val="00E322FC"/>
    <w:rsid w:val="00E5312A"/>
    <w:rsid w:val="00E850E0"/>
    <w:rsid w:val="00EF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4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40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40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0D4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40D4"/>
    <w:rPr>
      <w:rFonts w:asciiTheme="majorHAnsi" w:eastAsiaTheme="majorEastAsia" w:hAnsiTheme="majorHAnsi" w:cstheme="majorBidi"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40D4"/>
    <w:rPr>
      <w:rFonts w:asciiTheme="majorHAnsi" w:eastAsiaTheme="majorEastAsia" w:hAnsiTheme="majorHAnsi" w:cstheme="majorBidi"/>
      <w:color w:val="4F81BD" w:themeColor="accent1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F40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F40D4"/>
    <w:rPr>
      <w:rFonts w:asciiTheme="majorHAnsi" w:eastAsiaTheme="majorEastAsia" w:hAnsiTheme="majorHAnsi" w:cstheme="majorBidi"/>
      <w:b/>
      <w:bCs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EF40D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E5312A"/>
    <w:pPr>
      <w:widowControl/>
      <w:autoSpaceDE/>
      <w:autoSpaceDN/>
      <w:adjustRightInd/>
    </w:pPr>
    <w:rPr>
      <w:rFonts w:ascii="Times New Roman" w:eastAsia="Calibri" w:hAnsi="Times New Roman" w:cs="Times New Roman"/>
    </w:rPr>
  </w:style>
  <w:style w:type="character" w:customStyle="1" w:styleId="a7">
    <w:name w:val="Основной текст Знак"/>
    <w:basedOn w:val="a0"/>
    <w:link w:val="a6"/>
    <w:rsid w:val="00E5312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E5312A"/>
    <w:pPr>
      <w:widowControl/>
      <w:tabs>
        <w:tab w:val="left" w:pos="567"/>
      </w:tabs>
      <w:autoSpaceDE/>
      <w:autoSpaceDN/>
      <w:adjustRightInd/>
      <w:spacing w:line="360" w:lineRule="auto"/>
      <w:ind w:left="567"/>
      <w:jc w:val="center"/>
    </w:pPr>
    <w:rPr>
      <w:rFonts w:ascii="Times New Roman" w:eastAsia="Calibri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E5312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E5312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5312A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5312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E5312A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E5312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5312A"/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E531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5312A"/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44F9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44F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Айза</dc:creator>
  <cp:lastModifiedBy>User</cp:lastModifiedBy>
  <cp:revision>3</cp:revision>
  <dcterms:created xsi:type="dcterms:W3CDTF">2017-11-19T12:01:00Z</dcterms:created>
  <dcterms:modified xsi:type="dcterms:W3CDTF">2017-11-19T12:24:00Z</dcterms:modified>
</cp:coreProperties>
</file>